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7E" w:rsidRPr="002F04DB" w:rsidRDefault="00F4427E" w:rsidP="002F04DB">
      <w:pPr>
        <w:jc w:val="left"/>
        <w:rPr>
          <w:rFonts w:ascii="仿宋" w:eastAsia="仿宋" w:hAnsi="仿宋"/>
          <w:sz w:val="28"/>
          <w:szCs w:val="28"/>
        </w:rPr>
      </w:pPr>
      <w:r w:rsidRPr="002F04DB">
        <w:rPr>
          <w:rFonts w:ascii="仿宋" w:eastAsia="仿宋" w:hAnsi="仿宋" w:hint="eastAsia"/>
          <w:sz w:val="28"/>
          <w:szCs w:val="28"/>
        </w:rPr>
        <w:t>附件</w:t>
      </w:r>
      <w:r w:rsidRPr="002F04DB">
        <w:rPr>
          <w:rFonts w:ascii="仿宋" w:eastAsia="仿宋" w:hAnsi="仿宋"/>
          <w:sz w:val="28"/>
          <w:szCs w:val="28"/>
        </w:rPr>
        <w:t>5</w:t>
      </w:r>
      <w:r w:rsidRPr="002F04DB">
        <w:rPr>
          <w:rFonts w:ascii="仿宋" w:eastAsia="仿宋" w:hAnsi="仿宋" w:hint="eastAsia"/>
          <w:sz w:val="28"/>
          <w:szCs w:val="28"/>
        </w:rPr>
        <w:t>：</w:t>
      </w:r>
    </w:p>
    <w:p w:rsidR="00F4427E" w:rsidRDefault="00F4427E" w:rsidP="00155A52">
      <w:pPr>
        <w:jc w:val="center"/>
        <w:rPr>
          <w:rFonts w:ascii="黑体" w:eastAsia="黑体" w:hAnsi="黑体"/>
          <w:sz w:val="32"/>
          <w:szCs w:val="32"/>
        </w:rPr>
      </w:pPr>
      <w:r w:rsidRPr="00203F01">
        <w:rPr>
          <w:rFonts w:ascii="黑体" w:eastAsia="黑体" w:hAnsi="黑体" w:hint="eastAsia"/>
          <w:sz w:val="32"/>
          <w:szCs w:val="32"/>
        </w:rPr>
        <w:t>赤峰学院应用型示范课程项目</w:t>
      </w:r>
      <w:r>
        <w:rPr>
          <w:rFonts w:ascii="黑体" w:eastAsia="黑体" w:hAnsi="黑体" w:hint="eastAsia"/>
          <w:sz w:val="32"/>
          <w:szCs w:val="32"/>
        </w:rPr>
        <w:t>评估方案</w:t>
      </w:r>
    </w:p>
    <w:p w:rsidR="00F4427E" w:rsidRDefault="00F4427E" w:rsidP="00813004">
      <w:pPr>
        <w:widowControl/>
        <w:shd w:val="clear" w:color="auto" w:fill="FFFFFF"/>
        <w:spacing w:line="585" w:lineRule="exact"/>
        <w:ind w:firstLine="645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经二级学院推荐报送的应用型示范课程建设项目，经学校审批备案后，按照《</w:t>
      </w:r>
      <w:r w:rsidRPr="00E810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赤峰学院应用型示范课程项目建设方案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》相关要求开始课程建设工作。建设期满后，首先由二级学院自行组织验收，验收合格后，</w:t>
      </w:r>
      <w:r w:rsidRPr="00203F0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学校将组织专家对立项课程进行评估，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评估形式分两个阶段开展：</w:t>
      </w:r>
    </w:p>
    <w:p w:rsidR="00F4427E" w:rsidRDefault="00F4427E" w:rsidP="00813004">
      <w:pPr>
        <w:widowControl/>
        <w:shd w:val="clear" w:color="auto" w:fill="FFFFFF"/>
        <w:spacing w:line="585" w:lineRule="exact"/>
        <w:ind w:firstLine="645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一、实地考核评估阶段，主要包括</w:t>
      </w:r>
      <w:r w:rsidRPr="00203F0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查阅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课程建设</w:t>
      </w:r>
      <w:r w:rsidRPr="00203F0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档案、组织听课、访谈学生等，重点对比课程改革前后教学效果的变化情况及其实践推广应用价值。</w:t>
      </w:r>
    </w:p>
    <w:p w:rsidR="00F4427E" w:rsidRDefault="00F4427E" w:rsidP="00BC5C1B">
      <w:pPr>
        <w:widowControl/>
        <w:shd w:val="clear" w:color="auto" w:fill="FFFFFF"/>
        <w:spacing w:line="585" w:lineRule="exact"/>
        <w:ind w:rightChars="-27" w:right="-57" w:firstLine="645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二、公开课评估阶段，按课程性质分组展示，要求时间不少于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30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分钟，其中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5-10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分钟说课，主要包含课程概述、教学设计思路、教学环境、教学方法、创新特色、教学效果评价与比较等；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15-20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分钟的教学过程展示，可选取建设课程中的任意章节，要求内容相对完整，可选择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15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名左右的学生配合教学；专家点评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分钟。</w:t>
      </w:r>
    </w:p>
    <w:p w:rsidR="00F4427E" w:rsidRPr="00F5251E" w:rsidRDefault="00F4427E" w:rsidP="00BC5C1B">
      <w:pPr>
        <w:widowControl/>
        <w:shd w:val="clear" w:color="auto" w:fill="FFFFFF"/>
        <w:spacing w:line="585" w:lineRule="exact"/>
        <w:ind w:rightChars="-27" w:right="-57" w:firstLine="645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以上评估工作主要依据《</w:t>
      </w:r>
      <w:r w:rsidRPr="004650C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赤峰学院应用型示范课程建设项目评估标准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》（见附件）开展</w:t>
      </w:r>
      <w:r w:rsidRPr="00BC5C1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F4427E" w:rsidRPr="00DC5FEC" w:rsidRDefault="00F4427E" w:rsidP="005C7749">
      <w:pPr>
        <w:widowControl/>
        <w:shd w:val="clear" w:color="auto" w:fill="FFFFFF"/>
        <w:spacing w:line="585" w:lineRule="exact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F4427E" w:rsidRDefault="00F4427E" w:rsidP="005C7749">
      <w:pPr>
        <w:widowControl/>
        <w:shd w:val="clear" w:color="auto" w:fill="FFFFFF"/>
        <w:spacing w:line="585" w:lineRule="exact"/>
        <w:jc w:val="left"/>
        <w:rPr>
          <w:rFonts w:ascii="仿宋" w:eastAsia="仿宋" w:hAnsi="仿宋"/>
          <w:sz w:val="28"/>
          <w:szCs w:val="28"/>
        </w:rPr>
      </w:pPr>
    </w:p>
    <w:p w:rsidR="00F4427E" w:rsidRDefault="00F4427E" w:rsidP="005C7749">
      <w:pPr>
        <w:widowControl/>
        <w:shd w:val="clear" w:color="auto" w:fill="FFFFFF"/>
        <w:spacing w:line="585" w:lineRule="exact"/>
        <w:jc w:val="left"/>
        <w:rPr>
          <w:rFonts w:ascii="仿宋" w:eastAsia="仿宋" w:hAnsi="仿宋"/>
          <w:sz w:val="28"/>
          <w:szCs w:val="28"/>
        </w:rPr>
      </w:pPr>
    </w:p>
    <w:p w:rsidR="00F4427E" w:rsidRDefault="00F4427E" w:rsidP="005C7749">
      <w:pPr>
        <w:widowControl/>
        <w:shd w:val="clear" w:color="auto" w:fill="FFFFFF"/>
        <w:spacing w:line="585" w:lineRule="exact"/>
        <w:jc w:val="left"/>
        <w:rPr>
          <w:rFonts w:ascii="仿宋" w:eastAsia="仿宋" w:hAnsi="仿宋"/>
          <w:sz w:val="28"/>
          <w:szCs w:val="28"/>
        </w:rPr>
      </w:pPr>
    </w:p>
    <w:p w:rsidR="00F4427E" w:rsidRDefault="00F4427E" w:rsidP="005C7749">
      <w:pPr>
        <w:widowControl/>
        <w:shd w:val="clear" w:color="auto" w:fill="FFFFFF"/>
        <w:spacing w:line="585" w:lineRule="exact"/>
        <w:jc w:val="left"/>
        <w:rPr>
          <w:rFonts w:ascii="仿宋" w:eastAsia="仿宋" w:hAnsi="仿宋"/>
          <w:sz w:val="28"/>
          <w:szCs w:val="28"/>
        </w:rPr>
      </w:pPr>
    </w:p>
    <w:p w:rsidR="00F4427E" w:rsidRDefault="00F4427E" w:rsidP="005C7749">
      <w:pPr>
        <w:widowControl/>
        <w:shd w:val="clear" w:color="auto" w:fill="FFFFFF"/>
        <w:spacing w:line="585" w:lineRule="exact"/>
        <w:jc w:val="left"/>
        <w:rPr>
          <w:rFonts w:ascii="仿宋" w:eastAsia="仿宋" w:hAnsi="仿宋"/>
          <w:sz w:val="28"/>
          <w:szCs w:val="28"/>
        </w:rPr>
      </w:pPr>
    </w:p>
    <w:p w:rsidR="00F4427E" w:rsidRPr="005C7749" w:rsidRDefault="00F4427E" w:rsidP="005C7749">
      <w:pPr>
        <w:widowControl/>
        <w:shd w:val="clear" w:color="auto" w:fill="FFFFFF"/>
        <w:spacing w:line="585" w:lineRule="exact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16D1">
        <w:rPr>
          <w:rFonts w:ascii="仿宋" w:eastAsia="仿宋" w:hAnsi="仿宋" w:hint="eastAsia"/>
          <w:sz w:val="28"/>
          <w:szCs w:val="28"/>
        </w:rPr>
        <w:lastRenderedPageBreak/>
        <w:t>附件：</w:t>
      </w:r>
    </w:p>
    <w:p w:rsidR="00F4427E" w:rsidRPr="00E116D1" w:rsidRDefault="00F4427E" w:rsidP="002D2D23">
      <w:pPr>
        <w:jc w:val="center"/>
        <w:rPr>
          <w:rFonts w:ascii="仿宋" w:eastAsia="仿宋" w:hAnsi="仿宋"/>
          <w:b/>
          <w:sz w:val="32"/>
          <w:szCs w:val="32"/>
        </w:rPr>
      </w:pPr>
      <w:r w:rsidRPr="00E116D1">
        <w:rPr>
          <w:rFonts w:ascii="仿宋" w:eastAsia="仿宋" w:hAnsi="仿宋" w:hint="eastAsia"/>
          <w:b/>
          <w:sz w:val="32"/>
          <w:szCs w:val="32"/>
        </w:rPr>
        <w:t>赤峰学院应用型示范课程建设项目评估标准</w:t>
      </w:r>
    </w:p>
    <w:p w:rsidR="00F4427E" w:rsidRPr="00E116D1" w:rsidRDefault="00F4427E" w:rsidP="008F567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Pr="00E116D1">
        <w:rPr>
          <w:rFonts w:ascii="仿宋" w:eastAsia="仿宋" w:hAnsi="仿宋" w:hint="eastAsia"/>
          <w:sz w:val="28"/>
          <w:szCs w:val="28"/>
        </w:rPr>
        <w:t>线上课程评分标准</w:t>
      </w:r>
    </w:p>
    <w:tbl>
      <w:tblPr>
        <w:tblW w:w="864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701"/>
        <w:gridCol w:w="4961"/>
        <w:gridCol w:w="850"/>
      </w:tblGrid>
      <w:tr w:rsidR="00F4427E" w:rsidRPr="00390F3C" w:rsidTr="008F2B2B">
        <w:trPr>
          <w:trHeight w:val="312"/>
        </w:trPr>
        <w:tc>
          <w:tcPr>
            <w:tcW w:w="1135" w:type="dxa"/>
            <w:vMerge w:val="restart"/>
            <w:shd w:val="clear" w:color="000000" w:fill="F8F8F8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01" w:type="dxa"/>
            <w:vMerge w:val="restart"/>
            <w:shd w:val="clear" w:color="000000" w:fill="F8F8F8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4961" w:type="dxa"/>
            <w:vMerge w:val="restart"/>
            <w:shd w:val="clear" w:color="000000" w:fill="F8F8F8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观测点及描述</w:t>
            </w:r>
          </w:p>
        </w:tc>
        <w:tc>
          <w:tcPr>
            <w:tcW w:w="850" w:type="dxa"/>
            <w:vMerge w:val="restart"/>
            <w:shd w:val="clear" w:color="000000" w:fill="F8F8F8"/>
            <w:noWrap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分值</w:t>
            </w:r>
          </w:p>
        </w:tc>
      </w:tr>
      <w:tr w:rsidR="00F4427E" w:rsidRPr="00390F3C" w:rsidTr="008F2B2B">
        <w:trPr>
          <w:trHeight w:val="312"/>
        </w:trPr>
        <w:tc>
          <w:tcPr>
            <w:tcW w:w="1135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</w:tr>
      <w:tr w:rsidR="00F4427E" w:rsidRPr="00390F3C" w:rsidTr="008F2B2B">
        <w:trPr>
          <w:trHeight w:val="838"/>
        </w:trPr>
        <w:tc>
          <w:tcPr>
            <w:tcW w:w="1135" w:type="dxa"/>
            <w:vMerge w:val="restart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1.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课程内容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1-1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规范性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4427E" w:rsidRPr="00E116D1" w:rsidRDefault="00F4427E" w:rsidP="00C25947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课程内容为高校教学内容，符合《普通高等学校本科专业类教学质量国家标准》等要求，课程定位准确，教学内容质量高；课程知识体系科学完整。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8F2B2B">
        <w:trPr>
          <w:trHeight w:val="1079"/>
        </w:trPr>
        <w:tc>
          <w:tcPr>
            <w:tcW w:w="1135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1-2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思想性、科学性、先进性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4427E" w:rsidRPr="00E116D1" w:rsidRDefault="00F4427E" w:rsidP="00C25947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坚持立德树人，将思想政治教育内化为课程内容，弘扬社会主义核心价值观；课程内容先进、新颖，反映学科专业先进的核心理论和成果，体现教改教研成果，具有较高的科学性水平，注重运用知识解决实际问题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8F2B2B">
        <w:trPr>
          <w:trHeight w:val="441"/>
        </w:trPr>
        <w:tc>
          <w:tcPr>
            <w:tcW w:w="1135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1-3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安全性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4427E" w:rsidRPr="00E116D1" w:rsidRDefault="00F4427E" w:rsidP="00C25947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课程无危害国家安全、涉密及其他不适宜网络公开传播的内容，无侵犯他人知识产权内容。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8F2B2B">
        <w:trPr>
          <w:trHeight w:val="520"/>
        </w:trPr>
        <w:tc>
          <w:tcPr>
            <w:tcW w:w="1135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1-4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适当性、多样性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4427E" w:rsidRPr="00E116D1" w:rsidRDefault="00F4427E" w:rsidP="00C25947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课程内容及教学环节配置丰富、多样，深浅度合理，内容更新和完善及时。在线考试难易度适当，有区分度。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8F2B2B">
        <w:trPr>
          <w:trHeight w:val="446"/>
        </w:trPr>
        <w:tc>
          <w:tcPr>
            <w:tcW w:w="1135" w:type="dxa"/>
            <w:vMerge w:val="restart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2.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课程教学设计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2-1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合理性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教学目标明确，教学方法与教学活动组织科学合理，符合教育教学规律。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8F2B2B">
        <w:trPr>
          <w:trHeight w:val="940"/>
        </w:trPr>
        <w:tc>
          <w:tcPr>
            <w:tcW w:w="1135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2-2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方向性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符合以学生为中心的课程教学改革方向，注重激发学生学习志趣和潜能，增强学生的社会责任感、创新精神和实践能力；信息技术与教育教学融合，课程应用与课程服务相融通，适合在线学习、翻转课堂以及线上线下混合式拓展性学习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10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8F2B2B">
        <w:trPr>
          <w:trHeight w:val="668"/>
        </w:trPr>
        <w:tc>
          <w:tcPr>
            <w:tcW w:w="1135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2-3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创新性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有针对性地解决当前教育教学中存在的问题，充分利用和发挥网络教学优势，各教学环节充分、有效，满足学生的在线学习的诉求，不是传统课堂的简单翻版。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10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8F2B2B">
        <w:trPr>
          <w:trHeight w:val="624"/>
        </w:trPr>
        <w:tc>
          <w:tcPr>
            <w:tcW w:w="1135" w:type="dxa"/>
            <w:vMerge w:val="restart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3.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课程团队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3-1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在本课程专业领域有较高学术造诣，教学经验丰富，教学水平高，在推进</w:t>
            </w:r>
            <w:proofErr w:type="gramStart"/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基于慕课的</w:t>
            </w:r>
            <w:proofErr w:type="gramEnd"/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信息技术与教育教学深度融合的课程改革中投入精力大，有一定影响度。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8F2B2B">
        <w:trPr>
          <w:trHeight w:val="386"/>
        </w:trPr>
        <w:tc>
          <w:tcPr>
            <w:tcW w:w="1135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3-2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团队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主讲教师师德好、教学能力强，教学表现力强，课程团队结构合理。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8F2B2B">
        <w:trPr>
          <w:trHeight w:val="533"/>
        </w:trPr>
        <w:tc>
          <w:tcPr>
            <w:tcW w:w="1135" w:type="dxa"/>
            <w:vMerge w:val="restart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4.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教学支持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4-1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团队服务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4427E" w:rsidRPr="00E116D1" w:rsidRDefault="00F4427E" w:rsidP="00C25947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通过课程平台，教师按照教学计划和要求为学习者提供测验、作业、考试、答疑、讨论等教学活动，及时开展有效的在线指导与测评。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10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8F2B2B">
        <w:trPr>
          <w:trHeight w:val="313"/>
        </w:trPr>
        <w:tc>
          <w:tcPr>
            <w:tcW w:w="1135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4-2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学习者活动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学习者在线学习响应度高，师生互动活跃。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10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8F2B2B">
        <w:trPr>
          <w:trHeight w:val="261"/>
        </w:trPr>
        <w:tc>
          <w:tcPr>
            <w:tcW w:w="1135" w:type="dxa"/>
            <w:vMerge w:val="restart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5.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应用效果与影响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5-1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开放性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面向其他高校和社会学习者开放学习程度高。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8F2B2B">
        <w:trPr>
          <w:trHeight w:val="648"/>
        </w:trPr>
        <w:tc>
          <w:tcPr>
            <w:tcW w:w="1135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5-2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课程本校应用情况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4427E" w:rsidRPr="00E116D1" w:rsidRDefault="00F4427E" w:rsidP="00C0238F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在本校将在线课程与课堂教学结合，推动教学方法改革，有效提高教学质量。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8F2B2B">
        <w:trPr>
          <w:trHeight w:val="756"/>
        </w:trPr>
        <w:tc>
          <w:tcPr>
            <w:tcW w:w="1135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5-3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在其他高校和社会学习者中应用共享情况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共享范围广，应用模式多样，应用效果好，社会影响力大，受益教师和学习者反馈、评价高。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</w:tbl>
    <w:p w:rsidR="00F4427E" w:rsidRPr="00E116D1" w:rsidRDefault="00F4427E" w:rsidP="00055392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二、</w:t>
      </w:r>
      <w:r w:rsidRPr="00E116D1">
        <w:rPr>
          <w:rFonts w:ascii="仿宋" w:eastAsia="仿宋" w:hAnsi="仿宋" w:hint="eastAsia"/>
          <w:b/>
          <w:sz w:val="28"/>
          <w:szCs w:val="28"/>
        </w:rPr>
        <w:t>线下课程评分标准</w:t>
      </w:r>
    </w:p>
    <w:tbl>
      <w:tblPr>
        <w:tblW w:w="864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2"/>
        <w:gridCol w:w="1560"/>
        <w:gridCol w:w="4985"/>
        <w:gridCol w:w="850"/>
      </w:tblGrid>
      <w:tr w:rsidR="00F4427E" w:rsidRPr="00390F3C" w:rsidTr="00221C5C">
        <w:trPr>
          <w:trHeight w:val="312"/>
        </w:trPr>
        <w:tc>
          <w:tcPr>
            <w:tcW w:w="1252" w:type="dxa"/>
            <w:vMerge w:val="restart"/>
            <w:shd w:val="clear" w:color="000000" w:fill="F8F8F8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560" w:type="dxa"/>
            <w:vMerge w:val="restart"/>
            <w:shd w:val="clear" w:color="000000" w:fill="F8F8F8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4985" w:type="dxa"/>
            <w:vMerge w:val="restart"/>
            <w:shd w:val="clear" w:color="000000" w:fill="F8F8F8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观测点及描述</w:t>
            </w:r>
          </w:p>
        </w:tc>
        <w:tc>
          <w:tcPr>
            <w:tcW w:w="850" w:type="dxa"/>
            <w:vMerge w:val="restart"/>
            <w:shd w:val="clear" w:color="000000" w:fill="F8F8F8"/>
            <w:noWrap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分值</w:t>
            </w:r>
          </w:p>
        </w:tc>
      </w:tr>
      <w:tr w:rsidR="00F4427E" w:rsidRPr="00390F3C" w:rsidTr="00221C5C">
        <w:trPr>
          <w:trHeight w:val="312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985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</w:tr>
      <w:tr w:rsidR="00F4427E" w:rsidRPr="00390F3C" w:rsidTr="00221C5C">
        <w:trPr>
          <w:trHeight w:val="868"/>
        </w:trPr>
        <w:tc>
          <w:tcPr>
            <w:tcW w:w="1252" w:type="dxa"/>
            <w:vMerge w:val="restart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1.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课程内容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1-1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规范性</w:t>
            </w:r>
          </w:p>
        </w:tc>
        <w:tc>
          <w:tcPr>
            <w:tcW w:w="4985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课程内容为高校教学内容，符合《普通高等学校本科专业类教学质量国家标准》等要求，课程定位准确，教学内容质量高；课程知识体系科学完整。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221C5C">
        <w:trPr>
          <w:trHeight w:val="1322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1-2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思想性、科学性、先进性</w:t>
            </w:r>
          </w:p>
        </w:tc>
        <w:tc>
          <w:tcPr>
            <w:tcW w:w="4985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坚持立德树人，将思想政治教育内化为课程内容，弘扬社会主义核心价值观，体现</w:t>
            </w:r>
            <w:proofErr w:type="gramStart"/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课程思政育人</w:t>
            </w:r>
            <w:proofErr w:type="gramEnd"/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宗旨；课程内容先进、新颖，反映学科专业先进的核心理论和成果，体现教改教研成果，具有较高的科学性水平。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221C5C">
        <w:trPr>
          <w:trHeight w:val="560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1-3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目标导向性</w:t>
            </w:r>
          </w:p>
        </w:tc>
        <w:tc>
          <w:tcPr>
            <w:tcW w:w="4985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针对培养方案中的“毕业要求”合理设置课程内容，明确课程的具体目标导向，目标与内容相一致，内容支持目标。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221C5C">
        <w:trPr>
          <w:trHeight w:val="696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1-4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适当性、多样性</w:t>
            </w:r>
          </w:p>
        </w:tc>
        <w:tc>
          <w:tcPr>
            <w:tcW w:w="4985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课程内容及教学环节配置丰富、多样，深浅度合理，内容更新和完善及时，考试难易度适当，有区分度。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221C5C">
        <w:trPr>
          <w:trHeight w:val="611"/>
        </w:trPr>
        <w:tc>
          <w:tcPr>
            <w:tcW w:w="1252" w:type="dxa"/>
            <w:vMerge w:val="restart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2.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课程教学设计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2-1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高阶性</w:t>
            </w:r>
          </w:p>
        </w:tc>
        <w:tc>
          <w:tcPr>
            <w:tcW w:w="4985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课程教学设计包含知识、能力、素质有机融合，培养学生解决复杂问题的综合能力和高级思维。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10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221C5C">
        <w:trPr>
          <w:trHeight w:val="916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2-3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创新性</w:t>
            </w:r>
          </w:p>
        </w:tc>
        <w:tc>
          <w:tcPr>
            <w:tcW w:w="4985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课程内容有前沿性和时代性并持续更新，教学形式体现先进性、多样性和互动性，学习过程具有探究性和个性化，能够把学生的个性特点发挥出来。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10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221C5C">
        <w:trPr>
          <w:trHeight w:val="665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2-2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挑战度</w:t>
            </w:r>
          </w:p>
        </w:tc>
        <w:tc>
          <w:tcPr>
            <w:tcW w:w="4985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课程具有一定的难度，能激发学生发挥潜能对所学知识进行融会贯通和拓展应用，培养创新性思维和批判性思维。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10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221C5C">
        <w:trPr>
          <w:trHeight w:val="668"/>
        </w:trPr>
        <w:tc>
          <w:tcPr>
            <w:tcW w:w="1252" w:type="dxa"/>
            <w:vMerge w:val="restart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3.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课程团队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3-1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985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在本课程专业领域有较高学术造诣，教学经验丰富，教学水平高，在推进课程教学改革中投入精力大，有一定影响度。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10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221C5C">
        <w:trPr>
          <w:trHeight w:val="684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3-2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团队</w:t>
            </w:r>
          </w:p>
        </w:tc>
        <w:tc>
          <w:tcPr>
            <w:tcW w:w="4985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主讲教师师德好、教学能力强，教学表现力强，课程团队结构合理。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10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221C5C">
        <w:trPr>
          <w:trHeight w:val="830"/>
        </w:trPr>
        <w:tc>
          <w:tcPr>
            <w:tcW w:w="1252" w:type="dxa"/>
            <w:vMerge w:val="restart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4.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教学支持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4-1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团队服务</w:t>
            </w:r>
          </w:p>
        </w:tc>
        <w:tc>
          <w:tcPr>
            <w:tcW w:w="4985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按照教学计划和要求为学习者提供测验、作业、考试、答疑、讨论等教学活动，及时开展有效的指导与测评。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221C5C">
        <w:trPr>
          <w:trHeight w:val="300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4-2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学习者活动</w:t>
            </w:r>
          </w:p>
        </w:tc>
        <w:tc>
          <w:tcPr>
            <w:tcW w:w="4985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课堂教学过程响应度高，师生互动活跃。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221C5C">
        <w:trPr>
          <w:trHeight w:val="387"/>
        </w:trPr>
        <w:tc>
          <w:tcPr>
            <w:tcW w:w="1252" w:type="dxa"/>
            <w:vMerge w:val="restart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5.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应用效果与影响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5-1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质量评价</w:t>
            </w:r>
          </w:p>
        </w:tc>
        <w:tc>
          <w:tcPr>
            <w:tcW w:w="4985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近</w:t>
            </w: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2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年内的课程教学综合评价结果良好及以上。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10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221C5C">
        <w:trPr>
          <w:trHeight w:val="477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5-2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持续改进情况</w:t>
            </w:r>
          </w:p>
        </w:tc>
        <w:tc>
          <w:tcPr>
            <w:tcW w:w="4985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课程根据教学效果反馈，对教学方式、课程内容、考试、答疑等进行持续改进。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10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</w:tbl>
    <w:p w:rsidR="00F4427E" w:rsidRPr="00E116D1" w:rsidRDefault="00F4427E">
      <w:pPr>
        <w:rPr>
          <w:rFonts w:ascii="仿宋" w:eastAsia="仿宋" w:hAnsi="仿宋"/>
        </w:rPr>
      </w:pPr>
    </w:p>
    <w:p w:rsidR="00F4427E" w:rsidRPr="00E116D1" w:rsidRDefault="00F4427E">
      <w:pPr>
        <w:rPr>
          <w:rFonts w:ascii="仿宋" w:eastAsia="仿宋" w:hAnsi="仿宋"/>
        </w:rPr>
      </w:pPr>
    </w:p>
    <w:p w:rsidR="00F4427E" w:rsidRDefault="00F4427E">
      <w:pPr>
        <w:rPr>
          <w:rFonts w:ascii="仿宋" w:eastAsia="仿宋" w:hAnsi="仿宋"/>
        </w:rPr>
      </w:pPr>
    </w:p>
    <w:p w:rsidR="00F4427E" w:rsidRDefault="00F4427E">
      <w:pPr>
        <w:rPr>
          <w:rFonts w:ascii="仿宋" w:eastAsia="仿宋" w:hAnsi="仿宋"/>
        </w:rPr>
      </w:pPr>
    </w:p>
    <w:p w:rsidR="00F4427E" w:rsidRDefault="00F4427E">
      <w:pPr>
        <w:rPr>
          <w:rFonts w:ascii="仿宋" w:eastAsia="仿宋" w:hAnsi="仿宋"/>
        </w:rPr>
      </w:pPr>
    </w:p>
    <w:p w:rsidR="00F4427E" w:rsidRDefault="00F4427E">
      <w:pPr>
        <w:rPr>
          <w:rFonts w:ascii="仿宋" w:eastAsia="仿宋" w:hAnsi="仿宋"/>
        </w:rPr>
      </w:pPr>
    </w:p>
    <w:p w:rsidR="00F4427E" w:rsidRDefault="00F4427E">
      <w:pPr>
        <w:rPr>
          <w:rFonts w:ascii="仿宋" w:eastAsia="仿宋" w:hAnsi="仿宋"/>
        </w:rPr>
      </w:pPr>
    </w:p>
    <w:p w:rsidR="00F4427E" w:rsidRDefault="00F4427E">
      <w:pPr>
        <w:rPr>
          <w:rFonts w:ascii="仿宋" w:eastAsia="仿宋" w:hAnsi="仿宋"/>
        </w:rPr>
      </w:pPr>
    </w:p>
    <w:p w:rsidR="00F4427E" w:rsidRDefault="00F4427E">
      <w:pPr>
        <w:rPr>
          <w:rFonts w:ascii="仿宋" w:eastAsia="仿宋" w:hAnsi="仿宋"/>
        </w:rPr>
      </w:pPr>
    </w:p>
    <w:p w:rsidR="00F4427E" w:rsidRPr="00055392" w:rsidRDefault="00F4427E" w:rsidP="008F5672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三、</w:t>
      </w:r>
      <w:r w:rsidRPr="00055392">
        <w:rPr>
          <w:rFonts w:ascii="仿宋" w:eastAsia="仿宋" w:hAnsi="仿宋" w:hint="eastAsia"/>
          <w:b/>
          <w:sz w:val="28"/>
          <w:szCs w:val="28"/>
        </w:rPr>
        <w:t>线上</w:t>
      </w:r>
      <w:r w:rsidRPr="00055392">
        <w:rPr>
          <w:rFonts w:ascii="仿宋" w:eastAsia="仿宋" w:hAnsi="仿宋"/>
          <w:b/>
          <w:sz w:val="28"/>
          <w:szCs w:val="28"/>
        </w:rPr>
        <w:t>/</w:t>
      </w:r>
      <w:r w:rsidRPr="00055392">
        <w:rPr>
          <w:rFonts w:ascii="仿宋" w:eastAsia="仿宋" w:hAnsi="仿宋" w:hint="eastAsia"/>
          <w:b/>
          <w:sz w:val="28"/>
          <w:szCs w:val="28"/>
        </w:rPr>
        <w:t>线下混合式</w:t>
      </w:r>
      <w:r>
        <w:rPr>
          <w:rFonts w:ascii="仿宋" w:eastAsia="仿宋" w:hAnsi="仿宋" w:hint="eastAsia"/>
          <w:b/>
          <w:sz w:val="28"/>
          <w:szCs w:val="28"/>
        </w:rPr>
        <w:t>课程</w:t>
      </w:r>
      <w:r w:rsidRPr="00055392">
        <w:rPr>
          <w:rFonts w:ascii="仿宋" w:eastAsia="仿宋" w:hAnsi="仿宋" w:hint="eastAsia"/>
          <w:b/>
          <w:sz w:val="28"/>
          <w:szCs w:val="28"/>
        </w:rPr>
        <w:t>评分标准</w:t>
      </w:r>
    </w:p>
    <w:tbl>
      <w:tblPr>
        <w:tblW w:w="864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2"/>
        <w:gridCol w:w="1701"/>
        <w:gridCol w:w="4844"/>
        <w:gridCol w:w="850"/>
      </w:tblGrid>
      <w:tr w:rsidR="00F4427E" w:rsidRPr="00390F3C" w:rsidTr="0073608C">
        <w:trPr>
          <w:trHeight w:val="312"/>
        </w:trPr>
        <w:tc>
          <w:tcPr>
            <w:tcW w:w="1252" w:type="dxa"/>
            <w:vMerge w:val="restart"/>
            <w:shd w:val="clear" w:color="000000" w:fill="F8F8F8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01" w:type="dxa"/>
            <w:vMerge w:val="restart"/>
            <w:shd w:val="clear" w:color="000000" w:fill="F8F8F8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4844" w:type="dxa"/>
            <w:vMerge w:val="restart"/>
            <w:shd w:val="clear" w:color="000000" w:fill="F8F8F8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观测点及描述</w:t>
            </w:r>
          </w:p>
        </w:tc>
        <w:tc>
          <w:tcPr>
            <w:tcW w:w="850" w:type="dxa"/>
            <w:vMerge w:val="restart"/>
            <w:shd w:val="clear" w:color="000000" w:fill="F8F8F8"/>
            <w:noWrap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分值</w:t>
            </w:r>
          </w:p>
        </w:tc>
      </w:tr>
      <w:tr w:rsidR="00F4427E" w:rsidRPr="00390F3C" w:rsidTr="0073608C">
        <w:trPr>
          <w:trHeight w:val="312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844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</w:tr>
      <w:tr w:rsidR="00F4427E" w:rsidRPr="00390F3C" w:rsidTr="0073608C">
        <w:trPr>
          <w:trHeight w:val="868"/>
        </w:trPr>
        <w:tc>
          <w:tcPr>
            <w:tcW w:w="1252" w:type="dxa"/>
            <w:vMerge w:val="restart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1.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课程内容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1-1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规范性</w:t>
            </w:r>
          </w:p>
        </w:tc>
        <w:tc>
          <w:tcPr>
            <w:tcW w:w="4844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课程内容为高校教学内容，符合《普通高等学校本科专业类教学质量国家标准》等要求，课程定位准确，教学内容质量高；课程知识体系科学完整。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73608C">
        <w:trPr>
          <w:trHeight w:val="1322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1-2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思想性、科学性、先进性</w:t>
            </w:r>
          </w:p>
        </w:tc>
        <w:tc>
          <w:tcPr>
            <w:tcW w:w="4844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坚持立德树人，将思想政治教育内化为课程内容，弘扬社会主义核心价值观，体现</w:t>
            </w:r>
            <w:proofErr w:type="gramStart"/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课程思政育人</w:t>
            </w:r>
            <w:proofErr w:type="gramEnd"/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宗旨；课程内容先进、新颖，反映学科专业先进的核心理论和成果，体现教改教研成果，具有较高的科学性水平。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73608C">
        <w:trPr>
          <w:trHeight w:val="560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1-3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目标导向性</w:t>
            </w:r>
          </w:p>
        </w:tc>
        <w:tc>
          <w:tcPr>
            <w:tcW w:w="4844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针对培养方案中的“毕业要求”合理设置课程内容，明确课程的具体目标导向，目标与内容相一致，内容支持目标。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73608C">
        <w:trPr>
          <w:trHeight w:val="696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1-4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适当性、多样性</w:t>
            </w:r>
          </w:p>
        </w:tc>
        <w:tc>
          <w:tcPr>
            <w:tcW w:w="4844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课程内容及教学环节配置丰富、多样，深浅度合理，内容更新和完善及时，考试难易度适当，有区分度。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73608C">
        <w:trPr>
          <w:trHeight w:val="611"/>
        </w:trPr>
        <w:tc>
          <w:tcPr>
            <w:tcW w:w="1252" w:type="dxa"/>
            <w:vMerge w:val="restart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2.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课程教学设计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2-1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高阶性</w:t>
            </w:r>
          </w:p>
        </w:tc>
        <w:tc>
          <w:tcPr>
            <w:tcW w:w="4844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课程教学设计包含知识、能力、素质有机融合，培养学生解决复杂问题的综合能力和高级思维。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10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73608C">
        <w:trPr>
          <w:trHeight w:val="916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2-3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创新性</w:t>
            </w:r>
          </w:p>
        </w:tc>
        <w:tc>
          <w:tcPr>
            <w:tcW w:w="4844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课程内容有前沿性和时代性并持续更新，教学形式体现先进性、多样性和互动性，充分利用线上课程资源，合理设计线下授课和线上学习的各个环节，</w:t>
            </w:r>
            <w:proofErr w:type="gramStart"/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体现线</w:t>
            </w:r>
            <w:proofErr w:type="gramEnd"/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上资源和线下课堂相结合的优势。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10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73608C">
        <w:trPr>
          <w:trHeight w:val="665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2-2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挑战度</w:t>
            </w:r>
          </w:p>
        </w:tc>
        <w:tc>
          <w:tcPr>
            <w:tcW w:w="4844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课程具有一定的难度，能激发学生发挥潜能对所学知识进行融会贯通和拓展应用，培养创新性思维和批判性思维。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10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73608C">
        <w:trPr>
          <w:trHeight w:val="668"/>
        </w:trPr>
        <w:tc>
          <w:tcPr>
            <w:tcW w:w="1252" w:type="dxa"/>
            <w:vMerge w:val="restart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3.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课程团队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3-1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844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在本课程专业领域有较高学术造诣，教学经验丰富，教学水平高，在推进课程教学改革中投入精力大，有一定影响度。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10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73608C">
        <w:trPr>
          <w:trHeight w:val="684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3-2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团队</w:t>
            </w:r>
          </w:p>
        </w:tc>
        <w:tc>
          <w:tcPr>
            <w:tcW w:w="4844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主讲教师师德好、教学能力强，教学表现力强，课程团队结构合理，团队教师</w:t>
            </w:r>
            <w:proofErr w:type="gramStart"/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有线上</w:t>
            </w:r>
            <w:proofErr w:type="gramEnd"/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课程建设经验。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10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73608C">
        <w:trPr>
          <w:trHeight w:val="830"/>
        </w:trPr>
        <w:tc>
          <w:tcPr>
            <w:tcW w:w="1252" w:type="dxa"/>
            <w:vMerge w:val="restart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4.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教学支持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4-1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团队服务</w:t>
            </w:r>
          </w:p>
        </w:tc>
        <w:tc>
          <w:tcPr>
            <w:tcW w:w="4844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按照教学计划和要求为学习者提供测验、作业、考试、答疑、讨论等教学活动，及时开展有效的指导与测评。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73608C">
        <w:trPr>
          <w:trHeight w:val="300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4-2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学习者活动</w:t>
            </w:r>
          </w:p>
        </w:tc>
        <w:tc>
          <w:tcPr>
            <w:tcW w:w="4844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课堂教学过程响应度高，师生互动活跃。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73608C">
        <w:trPr>
          <w:trHeight w:val="300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4-3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教学资源</w:t>
            </w:r>
          </w:p>
        </w:tc>
        <w:tc>
          <w:tcPr>
            <w:tcW w:w="4844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所选用的线上课程资源为国家精品在线开放课程资源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73608C">
        <w:trPr>
          <w:trHeight w:val="387"/>
        </w:trPr>
        <w:tc>
          <w:tcPr>
            <w:tcW w:w="1252" w:type="dxa"/>
            <w:vMerge w:val="restart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5.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应用效果与影响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5-1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质量评价</w:t>
            </w:r>
          </w:p>
        </w:tc>
        <w:tc>
          <w:tcPr>
            <w:tcW w:w="4844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近</w:t>
            </w: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2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年内的课程教学综合质量评价结果良好及以上。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73608C">
        <w:trPr>
          <w:trHeight w:val="477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 xml:space="preserve">5-2 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课程应用情况</w:t>
            </w:r>
          </w:p>
        </w:tc>
        <w:tc>
          <w:tcPr>
            <w:tcW w:w="4844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在本校将在线课程与课堂教学结合，推动教学方法改革，有效提高教学质量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  <w:tr w:rsidR="00F4427E" w:rsidRPr="00390F3C" w:rsidTr="0073608C">
        <w:trPr>
          <w:trHeight w:val="477"/>
        </w:trPr>
        <w:tc>
          <w:tcPr>
            <w:tcW w:w="1252" w:type="dxa"/>
            <w:vMerge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4427E" w:rsidRPr="00E116D1" w:rsidRDefault="00F4427E" w:rsidP="00927D21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5-</w:t>
            </w:r>
            <w:r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3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持续改进情况</w:t>
            </w:r>
          </w:p>
        </w:tc>
        <w:tc>
          <w:tcPr>
            <w:tcW w:w="4844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课程根据教学效果反馈，对教学方式、课程内容、考试、答疑等进行持续改进。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427E" w:rsidRPr="00E116D1" w:rsidRDefault="00F4427E" w:rsidP="00221C5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 w:rsidRPr="00E116D1"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  <w:t>5</w:t>
            </w:r>
            <w:r w:rsidRPr="00E116D1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分</w:t>
            </w:r>
          </w:p>
        </w:tc>
      </w:tr>
    </w:tbl>
    <w:p w:rsidR="00F4427E" w:rsidRPr="00E116D1" w:rsidRDefault="00F4427E">
      <w:pPr>
        <w:rPr>
          <w:rFonts w:ascii="仿宋" w:eastAsia="仿宋" w:hAnsi="仿宋"/>
        </w:rPr>
      </w:pPr>
    </w:p>
    <w:sectPr w:rsidR="00F4427E" w:rsidRPr="00E116D1" w:rsidSect="00C83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96B" w:rsidRDefault="0092096B" w:rsidP="008F5672">
      <w:r>
        <w:separator/>
      </w:r>
    </w:p>
  </w:endnote>
  <w:endnote w:type="continuationSeparator" w:id="0">
    <w:p w:rsidR="0092096B" w:rsidRDefault="0092096B" w:rsidP="008F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96B" w:rsidRDefault="0092096B" w:rsidP="008F5672">
      <w:r>
        <w:separator/>
      </w:r>
    </w:p>
  </w:footnote>
  <w:footnote w:type="continuationSeparator" w:id="0">
    <w:p w:rsidR="0092096B" w:rsidRDefault="0092096B" w:rsidP="008F5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D9E"/>
    <w:rsid w:val="00014174"/>
    <w:rsid w:val="00055392"/>
    <w:rsid w:val="00155A52"/>
    <w:rsid w:val="001A03C4"/>
    <w:rsid w:val="001C4D9E"/>
    <w:rsid w:val="001E63B2"/>
    <w:rsid w:val="00203F01"/>
    <w:rsid w:val="00221C5C"/>
    <w:rsid w:val="00235FB7"/>
    <w:rsid w:val="00243FF2"/>
    <w:rsid w:val="002D2D23"/>
    <w:rsid w:val="002F04DB"/>
    <w:rsid w:val="00381A81"/>
    <w:rsid w:val="00390F3C"/>
    <w:rsid w:val="004650C6"/>
    <w:rsid w:val="0047574F"/>
    <w:rsid w:val="00541C8D"/>
    <w:rsid w:val="0055639C"/>
    <w:rsid w:val="005C7749"/>
    <w:rsid w:val="005F48B2"/>
    <w:rsid w:val="006A3C0F"/>
    <w:rsid w:val="0073608C"/>
    <w:rsid w:val="0074599D"/>
    <w:rsid w:val="00753FED"/>
    <w:rsid w:val="007550E2"/>
    <w:rsid w:val="00813004"/>
    <w:rsid w:val="00865EA3"/>
    <w:rsid w:val="008F2B2B"/>
    <w:rsid w:val="008F5672"/>
    <w:rsid w:val="0092096B"/>
    <w:rsid w:val="00927D21"/>
    <w:rsid w:val="009E66A6"/>
    <w:rsid w:val="00A768B5"/>
    <w:rsid w:val="00A90929"/>
    <w:rsid w:val="00B155E1"/>
    <w:rsid w:val="00B7023E"/>
    <w:rsid w:val="00BC5C1B"/>
    <w:rsid w:val="00C0238F"/>
    <w:rsid w:val="00C25947"/>
    <w:rsid w:val="00C32EDC"/>
    <w:rsid w:val="00C8316E"/>
    <w:rsid w:val="00CA6798"/>
    <w:rsid w:val="00CB50F1"/>
    <w:rsid w:val="00CE7DBC"/>
    <w:rsid w:val="00DC5FEC"/>
    <w:rsid w:val="00DF354F"/>
    <w:rsid w:val="00E0787B"/>
    <w:rsid w:val="00E116D1"/>
    <w:rsid w:val="00E8106D"/>
    <w:rsid w:val="00F4427E"/>
    <w:rsid w:val="00F5251E"/>
    <w:rsid w:val="00F84EE5"/>
    <w:rsid w:val="00FC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F5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8F567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F5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F5672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F5251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Windows 用户</cp:lastModifiedBy>
  <cp:revision>17</cp:revision>
  <dcterms:created xsi:type="dcterms:W3CDTF">2019-11-25T11:29:00Z</dcterms:created>
  <dcterms:modified xsi:type="dcterms:W3CDTF">2019-12-04T09:39:00Z</dcterms:modified>
</cp:coreProperties>
</file>