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000000" w:themeColor="text1"/>
          <w:sz w:val="28"/>
          <w:szCs w:val="28"/>
        </w:rPr>
      </w:pPr>
      <w:r>
        <w:rPr>
          <w:rFonts w:hint="eastAsia" w:ascii="微软雅黑" w:hAnsi="微软雅黑" w:eastAsia="微软雅黑"/>
          <w:bCs/>
          <w:color w:val="000000" w:themeColor="text1"/>
          <w:sz w:val="44"/>
          <w:szCs w:val="44"/>
        </w:rPr>
        <w:t>赤峰学院2019-2020学年第二学期本专科第六周在线教学质量报告</w:t>
      </w:r>
    </w:p>
    <w:p>
      <w:pPr>
        <w:ind w:firstLine="640" w:firstLineChars="200"/>
        <w:rPr>
          <w:rFonts w:ascii="仿宋" w:hAnsi="仿宋" w:eastAsia="仿宋" w:cs="仿宋"/>
          <w:color w:val="000000"/>
          <w:sz w:val="32"/>
          <w:szCs w:val="32"/>
        </w:rPr>
      </w:pP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根据教育部和自治区教育厅关于“停课不停教、停课不停学”的工作部署，我校积极应对新型冠状病毒疫情，严格落实《赤峰学院本专科学生返校前教学工作方案（赤院院字〔2020〕5号）》及</w:t>
      </w:r>
      <w:r>
        <w:rPr>
          <w:rFonts w:hint="eastAsia" w:ascii="仿宋" w:hAnsi="仿宋" w:eastAsia="仿宋" w:cs="Times New Roman"/>
          <w:color w:val="000000"/>
          <w:sz w:val="32"/>
          <w:szCs w:val="32"/>
        </w:rPr>
        <w:t>《关于做好疫情防控期间线上本专科教学质量监控与督导工作的通知》（赤院教字〔2020〕6号）</w:t>
      </w:r>
      <w:r>
        <w:rPr>
          <w:rFonts w:hint="eastAsia" w:ascii="仿宋" w:hAnsi="仿宋" w:eastAsia="仿宋" w:cs="仿宋"/>
          <w:color w:val="000000"/>
          <w:sz w:val="32"/>
          <w:szCs w:val="32"/>
        </w:rPr>
        <w:t>的文件精神，切实做好2020 年春季教学工作，在全校师生的共同努力之下，第六周（4月13日-4月17日）线上教学持续平稳运行。</w:t>
      </w:r>
    </w:p>
    <w:p>
      <w:pPr>
        <w:widowControl/>
        <w:ind w:firstLine="640" w:firstLineChars="200"/>
        <w:jc w:val="left"/>
        <w:rPr>
          <w:rFonts w:ascii="楷体" w:hAnsi="楷体" w:eastAsia="楷体"/>
          <w:bCs/>
          <w:color w:val="000000" w:themeColor="text1"/>
          <w:sz w:val="32"/>
          <w:szCs w:val="32"/>
        </w:rPr>
      </w:pPr>
      <w:r>
        <w:rPr>
          <w:rFonts w:hint="eastAsia" w:ascii="楷体" w:hAnsi="楷体" w:eastAsia="楷体"/>
          <w:bCs/>
          <w:color w:val="000000" w:themeColor="text1"/>
          <w:sz w:val="32"/>
          <w:szCs w:val="32"/>
        </w:rPr>
        <w:t>一、基本情况</w:t>
      </w:r>
    </w:p>
    <w:p>
      <w:pPr>
        <w:ind w:firstLine="640" w:firstLineChars="200"/>
        <w:rPr>
          <w:rFonts w:ascii="仿宋" w:hAnsi="仿宋" w:eastAsia="仿宋"/>
          <w:sz w:val="32"/>
          <w:szCs w:val="32"/>
        </w:rPr>
      </w:pPr>
      <w:r>
        <w:rPr>
          <w:rFonts w:hint="eastAsia" w:ascii="仿宋" w:hAnsi="仿宋" w:eastAsia="仿宋"/>
          <w:color w:val="000000" w:themeColor="text1"/>
          <w:sz w:val="32"/>
          <w:szCs w:val="32"/>
        </w:rPr>
        <w:t>开课第六周，有959位教师为10949名学生在线教授课程1081门，开课门次数为1867门次，学生在线学习达187325人次。</w:t>
      </w:r>
    </w:p>
    <w:p>
      <w:pPr>
        <w:ind w:firstLine="640" w:firstLineChars="200"/>
        <w:rPr>
          <w:rFonts w:ascii="楷体" w:hAnsi="楷体" w:eastAsia="楷体"/>
          <w:bCs/>
          <w:color w:val="000000" w:themeColor="text1"/>
          <w:sz w:val="32"/>
          <w:szCs w:val="32"/>
        </w:rPr>
      </w:pPr>
      <w:r>
        <w:rPr>
          <w:rFonts w:hint="eastAsia" w:ascii="楷体" w:hAnsi="楷体" w:eastAsia="楷体"/>
          <w:bCs/>
          <w:color w:val="000000" w:themeColor="text1"/>
          <w:sz w:val="32"/>
          <w:szCs w:val="32"/>
        </w:rPr>
        <w:t>二、在线教学平台（超星泛雅网络教学平台）应用数据分析</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1、平台访问量及教师学生活跃度</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泛雅网络教学综合平台日均访问量(</w:t>
      </w:r>
      <w:r>
        <w:rPr>
          <w:rFonts w:ascii="仿宋" w:hAnsi="仿宋" w:eastAsia="仿宋"/>
          <w:color w:val="000000" w:themeColor="text1"/>
          <w:sz w:val="32"/>
          <w:szCs w:val="32"/>
        </w:rPr>
        <w:t>PV)</w:t>
      </w:r>
      <w:r>
        <w:rPr>
          <w:rFonts w:hint="eastAsia" w:ascii="仿宋" w:hAnsi="仿宋" w:eastAsia="仿宋"/>
          <w:color w:val="000000" w:themeColor="text1"/>
          <w:sz w:val="32"/>
          <w:szCs w:val="32"/>
        </w:rPr>
        <w:t>约900万，与上周基本保持一致（图1）</w:t>
      </w:r>
    </w:p>
    <w:p>
      <w:pPr>
        <w:jc w:val="center"/>
        <w:rPr>
          <w:rFonts w:ascii="宋体" w:hAnsi="宋体" w:cs="Times New Roman"/>
          <w:color w:val="000000" w:themeColor="text1"/>
          <w:sz w:val="28"/>
          <w:szCs w:val="28"/>
        </w:rPr>
      </w:pPr>
      <w:r>
        <w:rPr>
          <w:rFonts w:ascii="宋体" w:hAnsi="宋体" w:cs="Times New Roman"/>
          <w:color w:val="000000" w:themeColor="text1"/>
          <w:sz w:val="28"/>
          <w:szCs w:val="28"/>
          <w:lang w:bidi="mn-Mong-CN"/>
        </w:rPr>
        <w:drawing>
          <wp:inline distT="0" distB="0" distL="0" distR="0">
            <wp:extent cx="5274310" cy="3076575"/>
            <wp:effectExtent l="0" t="0" r="254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20" w:firstLineChars="200"/>
        <w:rPr>
          <w:rFonts w:ascii="宋体" w:hAnsi="宋体" w:cs="Times New Roman"/>
          <w:color w:val="000000" w:themeColor="text1"/>
          <w:szCs w:val="21"/>
        </w:rPr>
      </w:pPr>
    </w:p>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图1日访问量（pv）统计</w:t>
      </w:r>
    </w:p>
    <w:p>
      <w:pPr>
        <w:spacing w:line="360" w:lineRule="auto"/>
      </w:pPr>
      <w:r>
        <w:t xml:space="preserve"> </w:t>
      </w:r>
      <w:r>
        <w:rPr>
          <w:lang w:bidi="mn-Mong-CN"/>
        </w:rPr>
        <w:drawing>
          <wp:inline distT="0" distB="0" distL="0" distR="0">
            <wp:extent cx="2472055" cy="2301240"/>
            <wp:effectExtent l="0" t="0" r="444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cstate="print"/>
                    <a:stretch>
                      <a:fillRect/>
                    </a:stretch>
                  </pic:blipFill>
                  <pic:spPr>
                    <a:xfrm>
                      <a:off x="0" y="0"/>
                      <a:ext cx="2479103" cy="2307472"/>
                    </a:xfrm>
                    <a:prstGeom prst="rect">
                      <a:avLst/>
                    </a:prstGeom>
                  </pic:spPr>
                </pic:pic>
              </a:graphicData>
            </a:graphic>
          </wp:inline>
        </w:drawing>
      </w:r>
      <w:r>
        <w:t xml:space="preserve">  </w:t>
      </w:r>
      <w:r>
        <w:rPr>
          <w:lang w:bidi="mn-Mong-CN"/>
        </w:rPr>
        <w:drawing>
          <wp:inline distT="0" distB="0" distL="0" distR="0">
            <wp:extent cx="2572385" cy="22631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cstate="print"/>
                    <a:stretch>
                      <a:fillRect/>
                    </a:stretch>
                  </pic:blipFill>
                  <pic:spPr>
                    <a:xfrm>
                      <a:off x="0" y="0"/>
                      <a:ext cx="2586494" cy="2275405"/>
                    </a:xfrm>
                    <a:prstGeom prst="rect">
                      <a:avLst/>
                    </a:prstGeom>
                  </pic:spPr>
                </pic:pic>
              </a:graphicData>
            </a:graphic>
          </wp:inline>
        </w:drawing>
      </w:r>
    </w:p>
    <w:p>
      <w:pPr>
        <w:spacing w:line="360" w:lineRule="auto"/>
        <w:ind w:firstLine="1050" w:firstLineChars="500"/>
        <w:rPr>
          <w:rFonts w:ascii="宋体" w:hAnsi="宋体" w:cs="Times New Roman"/>
          <w:color w:val="000000" w:themeColor="text1"/>
          <w:szCs w:val="21"/>
        </w:rPr>
      </w:pPr>
      <w:r>
        <w:rPr>
          <w:rFonts w:hint="eastAsia" w:ascii="宋体" w:hAnsi="宋体" w:cs="Times New Roman"/>
          <w:color w:val="000000" w:themeColor="text1"/>
          <w:szCs w:val="21"/>
        </w:rPr>
        <w:t xml:space="preserve">图2院系教师活跃度 </w:t>
      </w:r>
      <w:r>
        <w:rPr>
          <w:rFonts w:ascii="宋体" w:hAnsi="宋体" w:cs="Times New Roman"/>
          <w:color w:val="000000" w:themeColor="text1"/>
          <w:szCs w:val="21"/>
        </w:rPr>
        <w:t xml:space="preserve">                      </w:t>
      </w:r>
      <w:r>
        <w:rPr>
          <w:rFonts w:hint="eastAsia" w:ascii="宋体" w:hAnsi="宋体" w:cs="Times New Roman"/>
          <w:color w:val="000000" w:themeColor="text1"/>
          <w:szCs w:val="21"/>
        </w:rPr>
        <w:t>图3院系学生活跃度</w:t>
      </w:r>
    </w:p>
    <w:p>
      <w:pPr>
        <w:ind w:firstLine="640" w:firstLineChars="200"/>
        <w:rPr>
          <w:rFonts w:ascii="仿宋" w:hAnsi="仿宋" w:eastAsia="仿宋"/>
          <w:color w:val="000000" w:themeColor="text1"/>
          <w:sz w:val="32"/>
          <w:szCs w:val="32"/>
        </w:rPr>
      </w:pPr>
      <w:bookmarkStart w:id="0" w:name="_Toc34732354"/>
      <w:r>
        <w:rPr>
          <w:rFonts w:hint="eastAsia" w:ascii="仿宋" w:hAnsi="仿宋" w:eastAsia="仿宋"/>
          <w:color w:val="000000" w:themeColor="text1"/>
          <w:sz w:val="32"/>
          <w:szCs w:val="32"/>
        </w:rPr>
        <w:t>2、平台运行基本情况</w:t>
      </w:r>
      <w:bookmarkEnd w:id="0"/>
    </w:p>
    <w:p>
      <w:pPr>
        <w:ind w:firstLine="640" w:firstLineChars="200"/>
        <w:rPr>
          <w:rFonts w:ascii="仿宋" w:hAnsi="仿宋" w:eastAsia="仿宋"/>
          <w:color w:val="000000" w:themeColor="text1"/>
          <w:sz w:val="32"/>
          <w:szCs w:val="32"/>
        </w:rPr>
      </w:pPr>
      <w:bookmarkStart w:id="1" w:name="_Toc34732355"/>
      <w:r>
        <w:rPr>
          <w:rFonts w:hint="eastAsia" w:ascii="仿宋" w:hAnsi="仿宋" w:eastAsia="仿宋"/>
          <w:color w:val="000000" w:themeColor="text1"/>
          <w:sz w:val="32"/>
          <w:szCs w:val="32"/>
        </w:rPr>
        <w:t>（1）课程基本数据</w:t>
      </w:r>
      <w:bookmarkEnd w:id="1"/>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截止到4月21日，我校共有1510名教师累计在泛雅网络教学平台建课4729门，已归档2033门，剩余运行2696门，创建教学班级5290个。</w:t>
      </w:r>
    </w:p>
    <w:p>
      <w:pPr>
        <w:spacing w:line="360" w:lineRule="auto"/>
        <w:rPr>
          <w:rFonts w:asciiTheme="minorEastAsia" w:hAnsiTheme="minorEastAsia" w:eastAsiaTheme="minorEastAsia" w:cstheme="minorEastAsia"/>
          <w:bCs/>
          <w:color w:val="000000" w:themeColor="text1"/>
          <w:sz w:val="28"/>
          <w:szCs w:val="28"/>
        </w:rPr>
      </w:pPr>
      <w:r>
        <w:rPr>
          <w:lang w:bidi="mn-Mong-CN"/>
        </w:rPr>
        <w:drawing>
          <wp:inline distT="0" distB="0" distL="0" distR="0">
            <wp:extent cx="5274310" cy="38138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3813810"/>
                    </a:xfrm>
                    <a:prstGeom prst="rect">
                      <a:avLst/>
                    </a:prstGeom>
                  </pic:spPr>
                </pic:pic>
              </a:graphicData>
            </a:graphic>
          </wp:inline>
        </w:drawing>
      </w:r>
    </w:p>
    <w:p>
      <w:pPr>
        <w:ind w:firstLine="420" w:firstLineChars="200"/>
        <w:jc w:val="center"/>
        <w:rPr>
          <w:rFonts w:ascii="宋体" w:hAnsi="宋体"/>
          <w:color w:val="000000" w:themeColor="text1"/>
          <w:szCs w:val="21"/>
        </w:rPr>
      </w:pPr>
      <w:r>
        <w:rPr>
          <w:rFonts w:hint="eastAsia" w:ascii="宋体" w:hAnsi="宋体"/>
          <w:color w:val="000000" w:themeColor="text1"/>
          <w:szCs w:val="21"/>
        </w:rPr>
        <w:t>图4</w:t>
      </w:r>
      <w:r>
        <w:rPr>
          <w:rFonts w:hint="eastAsia"/>
          <w:szCs w:val="21"/>
        </w:rPr>
        <w:t>二级</w:t>
      </w:r>
      <w:r>
        <w:rPr>
          <w:szCs w:val="21"/>
        </w:rPr>
        <w:t>学院教师人数与</w:t>
      </w:r>
      <w:r>
        <w:rPr>
          <w:rFonts w:hint="eastAsia"/>
          <w:szCs w:val="21"/>
        </w:rPr>
        <w:t>网络</w:t>
      </w:r>
      <w:r>
        <w:rPr>
          <w:szCs w:val="21"/>
        </w:rPr>
        <w:t>课程数</w:t>
      </w:r>
    </w:p>
    <w:p>
      <w:pPr>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4月13日至4月17日，学校在泛雅网络教学平台共有1081门课</w:t>
      </w:r>
      <w:r>
        <w:rPr>
          <w:rFonts w:ascii="仿宋" w:hAnsi="仿宋" w:eastAsia="仿宋"/>
          <w:color w:val="000000" w:themeColor="text1"/>
          <w:sz w:val="32"/>
          <w:szCs w:val="32"/>
        </w:rPr>
        <w:t>运行</w:t>
      </w:r>
      <w:r>
        <w:rPr>
          <w:rFonts w:hint="eastAsia" w:ascii="仿宋" w:hAnsi="仿宋" w:eastAsia="仿宋"/>
          <w:color w:val="000000" w:themeColor="text1"/>
          <w:sz w:val="32"/>
          <w:szCs w:val="32"/>
        </w:rPr>
        <w:t>（图4）。各学院运行课程门数（top10），如图5。</w:t>
      </w:r>
    </w:p>
    <w:p>
      <w:pPr>
        <w:spacing w:line="360" w:lineRule="auto"/>
        <w:jc w:val="center"/>
        <w:rPr>
          <w:rFonts w:asciiTheme="minorEastAsia" w:hAnsiTheme="minorEastAsia" w:eastAsiaTheme="minorEastAsia" w:cstheme="minorEastAsia"/>
          <w:bCs/>
          <w:color w:val="000000" w:themeColor="text1"/>
          <w:sz w:val="28"/>
          <w:szCs w:val="28"/>
        </w:rPr>
      </w:pPr>
      <w:r>
        <w:rPr>
          <w:rFonts w:asciiTheme="minorEastAsia" w:hAnsiTheme="minorEastAsia" w:eastAsiaTheme="minorEastAsia" w:cstheme="minorEastAsia"/>
          <w:bCs/>
          <w:color w:val="000000" w:themeColor="text1"/>
          <w:sz w:val="28"/>
          <w:szCs w:val="28"/>
          <w:lang w:bidi="mn-Mong-CN"/>
        </w:rPr>
        <w:drawing>
          <wp:inline distT="0" distB="0" distL="0" distR="0">
            <wp:extent cx="5274310" cy="3076575"/>
            <wp:effectExtent l="0" t="0" r="2540" b="95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jc w:val="center"/>
        <w:rPr>
          <w:rFonts w:asciiTheme="minorEastAsia" w:hAnsiTheme="minorEastAsia" w:eastAsiaTheme="minorEastAsia" w:cstheme="minorEastAsia"/>
          <w:bCs/>
          <w:color w:val="000000" w:themeColor="text1"/>
          <w:sz w:val="28"/>
          <w:szCs w:val="28"/>
        </w:rPr>
      </w:pPr>
      <w:r>
        <w:rPr>
          <w:rFonts w:hint="eastAsia" w:cs="Times New Roman"/>
          <w:bCs/>
          <w:color w:val="000000" w:themeColor="text1"/>
          <w:szCs w:val="21"/>
        </w:rPr>
        <w:t>图5运行课程数量统计</w:t>
      </w:r>
    </w:p>
    <w:p>
      <w:pPr>
        <w:spacing w:line="360" w:lineRule="auto"/>
        <w:jc w:val="center"/>
        <w:rPr>
          <w:rFonts w:cs="Times New Roman"/>
          <w:bCs/>
          <w:color w:val="000000" w:themeColor="text1"/>
          <w:szCs w:val="21"/>
        </w:rPr>
      </w:pPr>
      <w:r>
        <w:rPr>
          <w:rFonts w:cs="Times New Roman"/>
          <w:bCs/>
          <w:color w:val="000000" w:themeColor="text1"/>
          <w:szCs w:val="21"/>
          <w:lang w:bidi="mn-Mong-CN"/>
        </w:rPr>
        <w:drawing>
          <wp:inline distT="0" distB="0" distL="0" distR="0">
            <wp:extent cx="5274310" cy="3076575"/>
            <wp:effectExtent l="0" t="0" r="254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60" w:lineRule="auto"/>
        <w:jc w:val="center"/>
        <w:outlineLvl w:val="1"/>
        <w:rPr>
          <w:rFonts w:asciiTheme="minorEastAsia" w:hAnsiTheme="minorEastAsia" w:eastAsiaTheme="minorEastAsia" w:cstheme="minorEastAsia"/>
          <w:bCs/>
          <w:color w:val="000000" w:themeColor="text1"/>
          <w:szCs w:val="21"/>
        </w:rPr>
      </w:pPr>
      <w:bookmarkStart w:id="2" w:name="_Toc34732358"/>
      <w:r>
        <w:rPr>
          <w:rFonts w:hint="eastAsia" w:asciiTheme="minorEastAsia" w:hAnsiTheme="minorEastAsia" w:eastAsiaTheme="minorEastAsia" w:cstheme="minorEastAsia"/>
          <w:bCs/>
          <w:color w:val="000000" w:themeColor="text1"/>
          <w:szCs w:val="21"/>
        </w:rPr>
        <w:t>图6院系运行课程门数统计（T</w:t>
      </w:r>
      <w:r>
        <w:rPr>
          <w:rFonts w:asciiTheme="minorEastAsia" w:hAnsiTheme="minorEastAsia" w:eastAsiaTheme="minorEastAsia" w:cstheme="minorEastAsia"/>
          <w:bCs/>
          <w:color w:val="000000" w:themeColor="text1"/>
          <w:szCs w:val="21"/>
        </w:rPr>
        <w:t>OP 10</w:t>
      </w:r>
      <w:r>
        <w:rPr>
          <w:rFonts w:hint="eastAsia" w:asciiTheme="minorEastAsia" w:hAnsiTheme="minorEastAsia" w:eastAsiaTheme="minorEastAsia" w:cstheme="minorEastAsia"/>
          <w:bCs/>
          <w:color w:val="000000" w:themeColor="text1"/>
          <w:szCs w:val="21"/>
        </w:rPr>
        <w:t>）</w:t>
      </w:r>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（2）学生</w:t>
      </w:r>
      <w:r>
        <w:rPr>
          <w:rFonts w:ascii="仿宋" w:hAnsi="仿宋" w:eastAsia="仿宋"/>
          <w:color w:val="000000" w:themeColor="text1"/>
          <w:sz w:val="32"/>
          <w:szCs w:val="32"/>
        </w:rPr>
        <w:t>上线情况</w:t>
      </w:r>
      <w:bookmarkEnd w:id="2"/>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自3月9日开始线上教学，每天上线学生人数较稳定，日均上线99</w:t>
      </w:r>
      <w:r>
        <w:rPr>
          <w:rFonts w:ascii="仿宋" w:hAnsi="仿宋" w:eastAsia="仿宋"/>
          <w:color w:val="000000" w:themeColor="text1"/>
          <w:sz w:val="32"/>
          <w:szCs w:val="32"/>
        </w:rPr>
        <w:t>00</w:t>
      </w:r>
      <w:r>
        <w:rPr>
          <w:rFonts w:hint="eastAsia" w:ascii="仿宋" w:hAnsi="仿宋" w:eastAsia="仿宋"/>
          <w:color w:val="000000" w:themeColor="text1"/>
          <w:sz w:val="32"/>
          <w:szCs w:val="32"/>
        </w:rPr>
        <w:t>余人，详见图7。</w:t>
      </w:r>
    </w:p>
    <w:p>
      <w:pPr>
        <w:spacing w:afterLines="50" w:line="360" w:lineRule="auto"/>
        <w:jc w:val="center"/>
        <w:rPr>
          <w:rFonts w:cs="Times New Roman"/>
          <w:color w:val="000000" w:themeColor="text1"/>
          <w:szCs w:val="21"/>
        </w:rPr>
      </w:pPr>
      <w:r>
        <w:rPr>
          <w:rFonts w:cs="Times New Roman"/>
          <w:color w:val="000000" w:themeColor="text1"/>
          <w:szCs w:val="21"/>
          <w:lang w:bidi="mn-Mong-CN"/>
        </w:rPr>
        <w:drawing>
          <wp:inline distT="0" distB="0" distL="0" distR="0">
            <wp:extent cx="5274310" cy="3076575"/>
            <wp:effectExtent l="0" t="0" r="2540"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Lines="50" w:line="360" w:lineRule="auto"/>
        <w:jc w:val="center"/>
        <w:rPr>
          <w:rFonts w:cs="Times New Roman"/>
          <w:color w:val="000000" w:themeColor="text1"/>
          <w:szCs w:val="21"/>
        </w:rPr>
      </w:pPr>
      <w:r>
        <w:rPr>
          <w:rFonts w:hint="eastAsia" w:cs="Times New Roman"/>
          <w:color w:val="000000" w:themeColor="text1"/>
          <w:szCs w:val="21"/>
        </w:rPr>
        <w:t>图7上线学生人数统计</w:t>
      </w:r>
    </w:p>
    <w:p>
      <w:pPr>
        <w:spacing w:line="360" w:lineRule="auto"/>
        <w:ind w:firstLine="640" w:firstLineChars="200"/>
        <w:jc w:val="left"/>
        <w:outlineLvl w:val="1"/>
        <w:rPr>
          <w:rFonts w:ascii="仿宋" w:hAnsi="仿宋" w:eastAsia="仿宋"/>
          <w:color w:val="000000" w:themeColor="text1"/>
          <w:sz w:val="32"/>
          <w:szCs w:val="32"/>
        </w:rPr>
      </w:pPr>
      <w:bookmarkStart w:id="3" w:name="_Toc34732359"/>
      <w:r>
        <w:rPr>
          <w:rFonts w:hint="eastAsia" w:ascii="仿宋" w:hAnsi="仿宋" w:eastAsia="仿宋"/>
          <w:color w:val="000000" w:themeColor="text1"/>
          <w:sz w:val="32"/>
          <w:szCs w:val="32"/>
        </w:rPr>
        <w:t>2、课程数据</w:t>
      </w:r>
      <w:bookmarkEnd w:id="3"/>
    </w:p>
    <w:p>
      <w:pPr>
        <w:spacing w:line="360" w:lineRule="auto"/>
        <w:ind w:firstLine="640" w:firstLineChars="200"/>
        <w:jc w:val="left"/>
        <w:outlineLvl w:val="1"/>
        <w:rPr>
          <w:rFonts w:ascii="仿宋" w:hAnsi="仿宋" w:eastAsia="仿宋"/>
          <w:color w:val="000000" w:themeColor="text1"/>
          <w:sz w:val="32"/>
          <w:szCs w:val="32"/>
        </w:rPr>
      </w:pPr>
      <w:bookmarkStart w:id="4" w:name="_Toc34732360"/>
      <w:r>
        <w:rPr>
          <w:rFonts w:hint="eastAsia" w:ascii="仿宋" w:hAnsi="仿宋" w:eastAsia="仿宋"/>
          <w:color w:val="000000" w:themeColor="text1"/>
          <w:sz w:val="32"/>
          <w:szCs w:val="32"/>
        </w:rPr>
        <w:t>（1）课程资源</w:t>
      </w:r>
      <w:r>
        <w:rPr>
          <w:rFonts w:ascii="仿宋" w:hAnsi="仿宋" w:eastAsia="仿宋"/>
          <w:color w:val="000000" w:themeColor="text1"/>
          <w:sz w:val="32"/>
          <w:szCs w:val="32"/>
        </w:rPr>
        <w:t>上传情况</w:t>
      </w:r>
      <w:bookmarkEnd w:id="4"/>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截止4月19日，全校师生累计上传资源620971个，同比上周增加14%，资源类型以图片为主，其次是文档，音频，视频；（如图8）</w:t>
      </w:r>
    </w:p>
    <w:p>
      <w:pPr>
        <w:spacing w:line="360" w:lineRule="auto"/>
        <w:jc w:val="center"/>
        <w:outlineLvl w:val="1"/>
        <w:rPr>
          <w:rFonts w:asciiTheme="minorEastAsia" w:hAnsiTheme="minorEastAsia" w:eastAsiaTheme="minorEastAsia" w:cstheme="minorEastAsia"/>
          <w:bCs/>
          <w:color w:val="000000" w:themeColor="text1"/>
          <w:sz w:val="28"/>
          <w:szCs w:val="28"/>
        </w:rPr>
      </w:pPr>
      <w:r>
        <w:rPr>
          <w:lang w:bidi="mn-Mong-CN"/>
        </w:rPr>
        <w:drawing>
          <wp:inline distT="0" distB="0" distL="0" distR="0">
            <wp:extent cx="3216275" cy="3124835"/>
            <wp:effectExtent l="0" t="0" r="317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cstate="print"/>
                    <a:stretch>
                      <a:fillRect/>
                    </a:stretch>
                  </pic:blipFill>
                  <pic:spPr>
                    <a:xfrm>
                      <a:off x="0" y="0"/>
                      <a:ext cx="3216275" cy="3124835"/>
                    </a:xfrm>
                    <a:prstGeom prst="rect">
                      <a:avLst/>
                    </a:prstGeom>
                  </pic:spPr>
                </pic:pic>
              </a:graphicData>
            </a:graphic>
          </wp:inline>
        </w:drawing>
      </w:r>
    </w:p>
    <w:p>
      <w:pPr>
        <w:spacing w:afterLines="50" w:line="360" w:lineRule="auto"/>
        <w:jc w:val="center"/>
        <w:rPr>
          <w:rFonts w:cs="Times New Roman"/>
          <w:color w:val="000000" w:themeColor="text1"/>
          <w:szCs w:val="21"/>
        </w:rPr>
      </w:pPr>
      <w:r>
        <w:rPr>
          <w:rFonts w:hint="eastAsia" w:cs="Times New Roman"/>
          <w:color w:val="000000" w:themeColor="text1"/>
          <w:szCs w:val="21"/>
        </w:rPr>
        <w:t>图8全校资源建设情况</w:t>
      </w:r>
    </w:p>
    <w:p>
      <w:pPr>
        <w:spacing w:line="360" w:lineRule="auto"/>
        <w:ind w:firstLine="640" w:firstLineChars="200"/>
        <w:jc w:val="left"/>
        <w:outlineLvl w:val="1"/>
        <w:rPr>
          <w:rFonts w:ascii="仿宋" w:hAnsi="仿宋" w:eastAsia="仿宋"/>
          <w:color w:val="000000" w:themeColor="text1"/>
          <w:sz w:val="32"/>
          <w:szCs w:val="32"/>
        </w:rPr>
      </w:pPr>
      <w:bookmarkStart w:id="5" w:name="_Toc34732362"/>
      <w:r>
        <w:rPr>
          <w:rFonts w:hint="eastAsia" w:ascii="仿宋" w:hAnsi="仿宋" w:eastAsia="仿宋"/>
          <w:color w:val="000000" w:themeColor="text1"/>
          <w:sz w:val="32"/>
          <w:szCs w:val="32"/>
        </w:rPr>
        <w:t>（2）课程题库建设情况</w:t>
      </w:r>
    </w:p>
    <w:p>
      <w:pPr>
        <w:spacing w:line="360" w:lineRule="auto"/>
        <w:jc w:val="left"/>
        <w:outlineLvl w:val="1"/>
        <w:rPr>
          <w:rFonts w:asciiTheme="minorEastAsia" w:hAnsiTheme="minorEastAsia" w:eastAsiaTheme="minorEastAsia" w:cstheme="minorEastAsia"/>
          <w:bCs/>
          <w:color w:val="000000" w:themeColor="text1"/>
          <w:sz w:val="28"/>
          <w:szCs w:val="28"/>
        </w:rPr>
      </w:pPr>
      <w:r>
        <w:rPr>
          <w:lang w:bidi="mn-Mong-CN"/>
        </w:rPr>
        <w:drawing>
          <wp:inline distT="0" distB="0" distL="0" distR="0">
            <wp:extent cx="2065020" cy="23399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stretch>
                      <a:fillRect/>
                    </a:stretch>
                  </pic:blipFill>
                  <pic:spPr>
                    <a:xfrm>
                      <a:off x="0" y="0"/>
                      <a:ext cx="2078044" cy="2354749"/>
                    </a:xfrm>
                    <a:prstGeom prst="rect">
                      <a:avLst/>
                    </a:prstGeom>
                  </pic:spPr>
                </pic:pic>
              </a:graphicData>
            </a:graphic>
          </wp:inline>
        </w:drawing>
      </w:r>
      <w:r>
        <w:rPr>
          <w:rFonts w:hint="eastAsia" w:asciiTheme="minorEastAsia" w:hAnsiTheme="minorEastAsia" w:eastAsiaTheme="minorEastAsia" w:cstheme="minorEastAsia"/>
          <w:bCs/>
          <w:color w:val="000000" w:themeColor="text1"/>
          <w:sz w:val="28"/>
          <w:szCs w:val="28"/>
        </w:rPr>
        <w:t xml:space="preserve"> </w:t>
      </w:r>
      <w:r>
        <w:rPr>
          <w:rFonts w:asciiTheme="minorEastAsia" w:hAnsiTheme="minorEastAsia" w:eastAsiaTheme="minorEastAsia" w:cstheme="minorEastAsia"/>
          <w:bCs/>
          <w:color w:val="000000" w:themeColor="text1"/>
          <w:sz w:val="28"/>
          <w:szCs w:val="28"/>
        </w:rPr>
        <w:t xml:space="preserve"> </w:t>
      </w:r>
      <w:r>
        <w:rPr>
          <w:lang w:bidi="mn-Mong-CN"/>
        </w:rPr>
        <w:drawing>
          <wp:inline distT="0" distB="0" distL="0" distR="0">
            <wp:extent cx="3017520" cy="23310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stretch>
                      <a:fillRect/>
                    </a:stretch>
                  </pic:blipFill>
                  <pic:spPr>
                    <a:xfrm>
                      <a:off x="0" y="0"/>
                      <a:ext cx="3039795" cy="2348293"/>
                    </a:xfrm>
                    <a:prstGeom prst="rect">
                      <a:avLst/>
                    </a:prstGeom>
                  </pic:spPr>
                </pic:pic>
              </a:graphicData>
            </a:graphic>
          </wp:inline>
        </w:drawing>
      </w:r>
    </w:p>
    <w:p>
      <w:pPr>
        <w:spacing w:afterLines="50" w:line="360" w:lineRule="auto"/>
        <w:ind w:firstLine="630" w:firstLineChars="300"/>
        <w:rPr>
          <w:rFonts w:cs="Times New Roman"/>
          <w:color w:val="000000" w:themeColor="text1"/>
          <w:szCs w:val="21"/>
        </w:rPr>
      </w:pPr>
      <w:r>
        <w:rPr>
          <w:rFonts w:hint="eastAsia" w:cs="Times New Roman"/>
          <w:color w:val="000000" w:themeColor="text1"/>
          <w:szCs w:val="21"/>
        </w:rPr>
        <w:t xml:space="preserve">图9题库建设院系统计 </w:t>
      </w:r>
      <w:r>
        <w:rPr>
          <w:rFonts w:cs="Times New Roman"/>
          <w:color w:val="000000" w:themeColor="text1"/>
          <w:szCs w:val="21"/>
        </w:rPr>
        <w:t xml:space="preserve">                 </w:t>
      </w:r>
      <w:r>
        <w:rPr>
          <w:rFonts w:hint="eastAsia" w:cs="Times New Roman"/>
          <w:color w:val="000000" w:themeColor="text1"/>
          <w:szCs w:val="21"/>
        </w:rPr>
        <w:t>图10题库题型统计</w:t>
      </w:r>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（3）课程</w:t>
      </w:r>
      <w:r>
        <w:rPr>
          <w:rFonts w:ascii="仿宋" w:hAnsi="仿宋" w:eastAsia="仿宋"/>
          <w:color w:val="000000" w:themeColor="text1"/>
          <w:sz w:val="32"/>
          <w:szCs w:val="32"/>
        </w:rPr>
        <w:t>活动数据</w:t>
      </w:r>
      <w:bookmarkEnd w:id="5"/>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本周师生在平台上的互动情况良好，与上周数据基本一致，平均每天22000余次（图11）。</w:t>
      </w:r>
    </w:p>
    <w:p>
      <w:pPr>
        <w:spacing w:line="360" w:lineRule="auto"/>
        <w:jc w:val="left"/>
        <w:outlineLvl w:val="1"/>
        <w:rPr>
          <w:rFonts w:asciiTheme="minorEastAsia" w:hAnsiTheme="minorEastAsia" w:eastAsiaTheme="minorEastAsia" w:cstheme="minorEastAsia"/>
          <w:bCs/>
          <w:color w:val="000000" w:themeColor="text1"/>
          <w:sz w:val="28"/>
          <w:szCs w:val="28"/>
        </w:rPr>
      </w:pPr>
      <w:r>
        <w:rPr>
          <w:rFonts w:asciiTheme="minorEastAsia" w:hAnsiTheme="minorEastAsia" w:eastAsiaTheme="minorEastAsia" w:cstheme="minorEastAsia"/>
          <w:bCs/>
          <w:color w:val="000000" w:themeColor="text1"/>
          <w:sz w:val="28"/>
          <w:szCs w:val="28"/>
          <w:lang w:bidi="mn-Mong-CN"/>
        </w:rPr>
        <w:drawing>
          <wp:inline distT="0" distB="0" distL="0" distR="0">
            <wp:extent cx="5207635" cy="3029585"/>
            <wp:effectExtent l="4445" t="4445" r="7620" b="1397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afterLines="50" w:line="360" w:lineRule="auto"/>
        <w:jc w:val="center"/>
        <w:rPr>
          <w:rFonts w:ascii="Times New Roman" w:hAnsi="Times New Roman" w:cs="Times New Roman"/>
          <w:color w:val="000000" w:themeColor="text1"/>
          <w:kern w:val="0"/>
          <w:szCs w:val="21"/>
          <w:lang w:bidi="mn-Mong-CN"/>
        </w:rPr>
      </w:pPr>
      <w:r>
        <w:rPr>
          <w:rFonts w:hint="eastAsia" w:ascii="Times New Roman" w:hAnsi="Times New Roman" w:cs="Times New Roman"/>
          <w:color w:val="000000" w:themeColor="text1"/>
          <w:kern w:val="0"/>
          <w:szCs w:val="21"/>
          <w:lang w:bidi="mn-Mong-CN"/>
        </w:rPr>
        <w:t>图11课堂活动统计</w:t>
      </w:r>
    </w:p>
    <w:p>
      <w:pPr>
        <w:spacing w:line="360" w:lineRule="auto"/>
        <w:ind w:firstLine="640" w:firstLineChars="200"/>
        <w:jc w:val="left"/>
        <w:outlineLvl w:val="1"/>
        <w:rPr>
          <w:rFonts w:ascii="仿宋" w:hAnsi="仿宋" w:eastAsia="仿宋"/>
          <w:color w:val="000000" w:themeColor="text1"/>
          <w:sz w:val="32"/>
          <w:szCs w:val="32"/>
        </w:rPr>
      </w:pPr>
      <w:bookmarkStart w:id="6" w:name="_Toc34732363"/>
      <w:r>
        <w:rPr>
          <w:rFonts w:hint="eastAsia" w:ascii="仿宋" w:hAnsi="仿宋" w:eastAsia="仿宋"/>
          <w:color w:val="000000" w:themeColor="text1"/>
          <w:sz w:val="32"/>
          <w:szCs w:val="32"/>
        </w:rPr>
        <w:t>（4）师生</w:t>
      </w:r>
      <w:r>
        <w:rPr>
          <w:rFonts w:ascii="仿宋" w:hAnsi="仿宋" w:eastAsia="仿宋"/>
          <w:color w:val="000000" w:themeColor="text1"/>
          <w:sz w:val="32"/>
          <w:szCs w:val="32"/>
        </w:rPr>
        <w:t>讨论情况</w:t>
      </w:r>
      <w:bookmarkEnd w:id="6"/>
    </w:p>
    <w:p>
      <w:pPr>
        <w:spacing w:line="360" w:lineRule="auto"/>
        <w:ind w:firstLine="640" w:firstLineChars="200"/>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本周师生讨论日均7000个，详见图12。</w:t>
      </w:r>
    </w:p>
    <w:p>
      <w:pPr>
        <w:spacing w:afterLines="50" w:line="360" w:lineRule="auto"/>
        <w:jc w:val="left"/>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lang w:bidi="mn-Mong-CN"/>
        </w:rPr>
        <w:drawing>
          <wp:inline distT="0" distB="0" distL="0" distR="0">
            <wp:extent cx="5227320" cy="2981960"/>
            <wp:effectExtent l="4445" t="4445" r="6985" b="2349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afterLines="50"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图12师生讨论数据统计</w:t>
      </w:r>
    </w:p>
    <w:p>
      <w:pPr>
        <w:numPr>
          <w:ilvl w:val="0"/>
          <w:numId w:val="1"/>
        </w:numPr>
        <w:spacing w:line="360" w:lineRule="auto"/>
        <w:ind w:firstLine="640" w:firstLineChars="200"/>
        <w:jc w:val="left"/>
        <w:outlineLvl w:val="1"/>
        <w:rPr>
          <w:rFonts w:ascii="仿宋" w:hAnsi="仿宋" w:eastAsia="仿宋"/>
          <w:color w:val="000000" w:themeColor="text1"/>
          <w:sz w:val="32"/>
          <w:szCs w:val="32"/>
        </w:rPr>
      </w:pPr>
      <w:bookmarkStart w:id="7" w:name="_Toc34732365"/>
      <w:r>
        <w:rPr>
          <w:rFonts w:hint="eastAsia" w:ascii="仿宋" w:hAnsi="仿宋" w:eastAsia="仿宋"/>
          <w:color w:val="000000" w:themeColor="text1"/>
          <w:sz w:val="32"/>
          <w:szCs w:val="32"/>
        </w:rPr>
        <w:t>作业</w:t>
      </w:r>
      <w:r>
        <w:rPr>
          <w:rFonts w:ascii="仿宋" w:hAnsi="仿宋" w:eastAsia="仿宋"/>
          <w:color w:val="000000" w:themeColor="text1"/>
          <w:sz w:val="32"/>
          <w:szCs w:val="32"/>
        </w:rPr>
        <w:t>情况</w:t>
      </w:r>
      <w:bookmarkEnd w:id="7"/>
    </w:p>
    <w:p>
      <w:pPr>
        <w:spacing w:line="360" w:lineRule="auto"/>
        <w:jc w:val="left"/>
        <w:outlineLvl w:val="1"/>
        <w:rPr>
          <w:rFonts w:ascii="仿宋" w:hAnsi="仿宋" w:eastAsia="仿宋"/>
          <w:color w:val="000000" w:themeColor="text1"/>
          <w:sz w:val="32"/>
          <w:szCs w:val="32"/>
        </w:rPr>
      </w:pPr>
      <w:r>
        <w:rPr>
          <w:rFonts w:hint="eastAsia" w:ascii="仿宋" w:hAnsi="仿宋" w:eastAsia="仿宋"/>
          <w:color w:val="000000" w:themeColor="text1"/>
          <w:sz w:val="32"/>
          <w:szCs w:val="32"/>
        </w:rPr>
        <w:t xml:space="preserve">    </w:t>
      </w:r>
      <w:r>
        <w:rPr>
          <w:rFonts w:hint="eastAsia" w:ascii="仿宋" w:hAnsi="仿宋" w:eastAsia="仿宋"/>
          <w:color w:val="000000" w:themeColor="text1"/>
          <w:sz w:val="32"/>
          <w:szCs w:val="32"/>
          <w:lang w:eastAsia="zh-CN"/>
        </w:rPr>
        <w:t>本</w:t>
      </w:r>
      <w:r>
        <w:rPr>
          <w:rFonts w:hint="eastAsia" w:ascii="仿宋" w:hAnsi="仿宋" w:eastAsia="仿宋"/>
          <w:color w:val="000000" w:themeColor="text1"/>
          <w:sz w:val="32"/>
          <w:szCs w:val="32"/>
        </w:rPr>
        <w:t>周我校教师共发布作业1166个，批阅作业15532个。</w:t>
      </w:r>
    </w:p>
    <w:p>
      <w:pPr>
        <w:spacing w:line="360" w:lineRule="auto"/>
        <w:jc w:val="center"/>
        <w:outlineLvl w:val="1"/>
        <w:rPr>
          <w:rFonts w:cs="Times New Roman"/>
          <w:color w:val="000000" w:themeColor="text1"/>
          <w:szCs w:val="21"/>
        </w:rPr>
      </w:pPr>
      <w:r>
        <w:rPr>
          <w:rFonts w:cs="Times New Roman"/>
          <w:color w:val="000000" w:themeColor="text1"/>
          <w:szCs w:val="21"/>
          <w:lang w:bidi="mn-Mong-CN"/>
        </w:rPr>
        <w:drawing>
          <wp:inline distT="0" distB="0" distL="0" distR="0">
            <wp:extent cx="4951095" cy="2686050"/>
            <wp:effectExtent l="4445" t="4445" r="16510" b="1460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line="360" w:lineRule="auto"/>
        <w:jc w:val="center"/>
        <w:outlineLvl w:val="1"/>
        <w:rPr>
          <w:rFonts w:cs="Times New Roman"/>
          <w:color w:val="000000" w:themeColor="text1"/>
          <w:szCs w:val="21"/>
        </w:rPr>
      </w:pPr>
      <w:r>
        <w:rPr>
          <w:rFonts w:hint="eastAsia" w:cs="Times New Roman"/>
          <w:color w:val="000000" w:themeColor="text1"/>
          <w:szCs w:val="21"/>
        </w:rPr>
        <w:t>图13作业情况统计</w:t>
      </w:r>
    </w:p>
    <w:p>
      <w:pPr>
        <w:tabs>
          <w:tab w:val="left" w:pos="284"/>
        </w:tabs>
        <w:spacing w:line="360" w:lineRule="auto"/>
        <w:ind w:firstLine="640" w:firstLineChars="200"/>
        <w:jc w:val="left"/>
        <w:outlineLvl w:val="0"/>
        <w:rPr>
          <w:rFonts w:ascii="仿宋" w:hAnsi="仿宋" w:eastAsia="仿宋"/>
          <w:color w:val="000000" w:themeColor="text1"/>
          <w:sz w:val="32"/>
          <w:szCs w:val="32"/>
        </w:rPr>
      </w:pPr>
      <w:bookmarkStart w:id="8" w:name="_Toc34732366"/>
      <w:r>
        <w:rPr>
          <w:rFonts w:hint="eastAsia" w:ascii="仿宋" w:hAnsi="仿宋" w:eastAsia="仿宋"/>
          <w:color w:val="000000" w:themeColor="text1"/>
          <w:sz w:val="32"/>
          <w:szCs w:val="32"/>
        </w:rPr>
        <w:t>3</w:t>
      </w:r>
      <w:r>
        <w:rPr>
          <w:rFonts w:ascii="仿宋" w:hAnsi="仿宋" w:eastAsia="仿宋"/>
          <w:color w:val="000000" w:themeColor="text1"/>
          <w:sz w:val="32"/>
          <w:szCs w:val="32"/>
        </w:rPr>
        <w:t>、</w:t>
      </w:r>
      <w:r>
        <w:rPr>
          <w:rFonts w:hint="eastAsia" w:ascii="仿宋" w:hAnsi="仿宋" w:eastAsia="仿宋"/>
          <w:color w:val="000000" w:themeColor="text1"/>
          <w:sz w:val="32"/>
          <w:szCs w:val="32"/>
        </w:rPr>
        <w:t>学生数据</w:t>
      </w:r>
      <w:bookmarkEnd w:id="8"/>
    </w:p>
    <w:p>
      <w:pPr>
        <w:tabs>
          <w:tab w:val="left" w:pos="284"/>
        </w:tabs>
        <w:spacing w:line="360" w:lineRule="auto"/>
        <w:ind w:firstLine="640" w:firstLineChars="200"/>
        <w:jc w:val="left"/>
        <w:outlineLvl w:val="0"/>
        <w:rPr>
          <w:rFonts w:ascii="仿宋" w:hAnsi="仿宋" w:eastAsia="仿宋"/>
          <w:color w:val="000000" w:themeColor="text1"/>
          <w:sz w:val="32"/>
          <w:szCs w:val="32"/>
        </w:rPr>
      </w:pPr>
      <w:r>
        <w:rPr>
          <w:rFonts w:hint="eastAsia" w:ascii="仿宋" w:hAnsi="仿宋" w:eastAsia="仿宋"/>
          <w:color w:val="000000" w:themeColor="text1"/>
          <w:sz w:val="32"/>
          <w:szCs w:val="32"/>
        </w:rPr>
        <w:t>本周学生整体学习情况良好，每天任务点完成人次在50000左右，课堂活动参与人次每天21000左右，作业与考试成绩及格率在85%以上，详细如图14</w:t>
      </w:r>
      <w:r>
        <w:rPr>
          <w:rFonts w:hint="eastAsia" w:ascii="仿宋" w:hAnsi="仿宋" w:eastAsia="仿宋"/>
          <w:color w:val="000000" w:themeColor="text1"/>
          <w:sz w:val="32"/>
          <w:szCs w:val="32"/>
          <w:lang w:val="en-US" w:eastAsia="zh-CN"/>
        </w:rPr>
        <w:t>-</w:t>
      </w:r>
      <w:r>
        <w:rPr>
          <w:rFonts w:hint="eastAsia" w:ascii="仿宋" w:hAnsi="仿宋" w:eastAsia="仿宋"/>
          <w:color w:val="000000" w:themeColor="text1"/>
          <w:sz w:val="32"/>
          <w:szCs w:val="32"/>
        </w:rPr>
        <w:t>16。</w:t>
      </w:r>
    </w:p>
    <w:p>
      <w:pPr>
        <w:tabs>
          <w:tab w:val="left" w:pos="284"/>
        </w:tabs>
        <w:spacing w:line="360" w:lineRule="auto"/>
        <w:jc w:val="center"/>
        <w:outlineLvl w:val="0"/>
        <w:rPr>
          <w:rFonts w:ascii="宋体" w:hAnsi="宋体" w:cs="Times New Roman"/>
          <w:bCs/>
          <w:color w:val="000000" w:themeColor="text1"/>
          <w:sz w:val="28"/>
          <w:szCs w:val="28"/>
        </w:rPr>
      </w:pPr>
      <w:r>
        <w:rPr>
          <w:lang w:bidi="mn-Mong-CN"/>
        </w:rPr>
        <w:drawing>
          <wp:inline distT="0" distB="0" distL="0" distR="0">
            <wp:extent cx="4790440" cy="2933065"/>
            <wp:effectExtent l="0" t="0" r="1016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cstate="print"/>
                    <a:stretch>
                      <a:fillRect/>
                    </a:stretch>
                  </pic:blipFill>
                  <pic:spPr>
                    <a:xfrm>
                      <a:off x="0" y="0"/>
                      <a:ext cx="4790440" cy="2933065"/>
                    </a:xfrm>
                    <a:prstGeom prst="rect">
                      <a:avLst/>
                    </a:prstGeom>
                  </pic:spPr>
                </pic:pic>
              </a:graphicData>
            </a:graphic>
          </wp:inline>
        </w:drawing>
      </w:r>
    </w:p>
    <w:p>
      <w:pPr>
        <w:tabs>
          <w:tab w:val="left" w:pos="284"/>
        </w:tabs>
        <w:spacing w:line="360" w:lineRule="auto"/>
        <w:jc w:val="center"/>
        <w:outlineLvl w:val="0"/>
        <w:rPr>
          <w:rFonts w:ascii="宋体" w:hAnsi="宋体" w:cs="Times New Roman"/>
          <w:bCs/>
          <w:color w:val="000000" w:themeColor="text1"/>
          <w:szCs w:val="21"/>
        </w:rPr>
      </w:pPr>
      <w:r>
        <w:rPr>
          <w:rFonts w:hint="eastAsia" w:ascii="宋体" w:hAnsi="宋体" w:cs="Times New Roman"/>
          <w:bCs/>
          <w:color w:val="000000" w:themeColor="text1"/>
          <w:szCs w:val="21"/>
        </w:rPr>
        <w:t>图14本周学生学习数据统计</w:t>
      </w:r>
    </w:p>
    <w:p>
      <w:pPr>
        <w:tabs>
          <w:tab w:val="left" w:pos="284"/>
        </w:tabs>
        <w:spacing w:line="360" w:lineRule="auto"/>
        <w:outlineLvl w:val="0"/>
      </w:pPr>
      <w:r>
        <w:rPr>
          <w:lang w:bidi="mn-Mong-CN"/>
        </w:rPr>
        <w:drawing>
          <wp:inline distT="0" distB="0" distL="0" distR="0">
            <wp:extent cx="2545080" cy="2188845"/>
            <wp:effectExtent l="0" t="0" r="762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stretch>
                      <a:fillRect/>
                    </a:stretch>
                  </pic:blipFill>
                  <pic:spPr>
                    <a:xfrm>
                      <a:off x="0" y="0"/>
                      <a:ext cx="2555770" cy="2198567"/>
                    </a:xfrm>
                    <a:prstGeom prst="rect">
                      <a:avLst/>
                    </a:prstGeom>
                  </pic:spPr>
                </pic:pic>
              </a:graphicData>
            </a:graphic>
          </wp:inline>
        </w:drawing>
      </w:r>
      <w:r>
        <w:t xml:space="preserve"> </w:t>
      </w:r>
      <w:r>
        <w:rPr>
          <w:lang w:bidi="mn-Mong-CN"/>
        </w:rPr>
        <w:drawing>
          <wp:inline distT="0" distB="0" distL="0" distR="0">
            <wp:extent cx="2591435" cy="21939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stretch>
                      <a:fillRect/>
                    </a:stretch>
                  </pic:blipFill>
                  <pic:spPr>
                    <a:xfrm>
                      <a:off x="0" y="0"/>
                      <a:ext cx="2610988" cy="2211059"/>
                    </a:xfrm>
                    <a:prstGeom prst="rect">
                      <a:avLst/>
                    </a:prstGeom>
                  </pic:spPr>
                </pic:pic>
              </a:graphicData>
            </a:graphic>
          </wp:inline>
        </w:drawing>
      </w:r>
    </w:p>
    <w:p>
      <w:pPr>
        <w:tabs>
          <w:tab w:val="left" w:pos="284"/>
        </w:tabs>
        <w:spacing w:line="360" w:lineRule="auto"/>
        <w:ind w:left="2100" w:leftChars="500" w:hanging="1050" w:hangingChars="500"/>
        <w:outlineLvl w:val="0"/>
        <w:rPr>
          <w:rFonts w:ascii="宋体" w:hAnsi="宋体" w:cs="Times New Roman"/>
          <w:bCs/>
          <w:color w:val="000000" w:themeColor="text1"/>
          <w:szCs w:val="21"/>
        </w:rPr>
      </w:pPr>
      <w:r>
        <w:rPr>
          <w:rFonts w:hint="eastAsia"/>
          <w:szCs w:val="21"/>
        </w:rPr>
        <w:t xml:space="preserve">图15作业平均分 </w:t>
      </w:r>
      <w:r>
        <w:rPr>
          <w:szCs w:val="21"/>
        </w:rPr>
        <w:t xml:space="preserve">                          </w:t>
      </w:r>
      <w:r>
        <w:rPr>
          <w:rFonts w:hint="eastAsia"/>
          <w:szCs w:val="21"/>
        </w:rPr>
        <w:t>图16考试平均分</w:t>
      </w:r>
    </w:p>
    <w:p>
      <w:pPr>
        <w:ind w:firstLine="640" w:firstLineChars="200"/>
        <w:rPr>
          <w:rFonts w:ascii="黑体" w:hAnsi="黑体" w:eastAsia="黑体"/>
          <w:color w:val="000000"/>
          <w:sz w:val="32"/>
          <w:szCs w:val="32"/>
        </w:rPr>
      </w:pPr>
      <w:r>
        <w:rPr>
          <w:rFonts w:hint="eastAsia" w:ascii="黑体" w:hAnsi="黑体" w:eastAsia="黑体"/>
          <w:color w:val="000000"/>
          <w:sz w:val="32"/>
          <w:szCs w:val="32"/>
        </w:rPr>
        <w:t>三、教学质量监控及督导情况</w:t>
      </w:r>
    </w:p>
    <w:p>
      <w:pPr>
        <w:spacing w:line="360" w:lineRule="auto"/>
        <w:ind w:firstLine="640" w:firstLineChars="200"/>
        <w:jc w:val="left"/>
        <w:outlineLvl w:val="1"/>
        <w:rPr>
          <w:rFonts w:ascii="楷体" w:hAnsi="楷体" w:eastAsia="楷体" w:cs="仿宋"/>
          <w:color w:val="000000"/>
          <w:sz w:val="32"/>
          <w:szCs w:val="32"/>
        </w:rPr>
      </w:pPr>
      <w:r>
        <w:rPr>
          <w:rFonts w:hint="eastAsia" w:ascii="楷体" w:hAnsi="楷体" w:eastAsia="楷体" w:cs="仿宋"/>
          <w:color w:val="000000"/>
          <w:sz w:val="32"/>
          <w:szCs w:val="32"/>
        </w:rPr>
        <w:t>（一）深入进行“云端”教学督导工作，有效促进在线教学质量的提升</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各教学单位根据《关于做好疫情防控期间线上本专科教学质量监控与督导工作的通知》（赤院教字〔2020〕6号）要求，在第6周校教学督导委员会及各教学单位教学督导组累计听课710人次，积极发挥了教学督导队伍的作用。</w:t>
      </w:r>
    </w:p>
    <w:p>
      <w:pPr>
        <w:spacing w:line="360" w:lineRule="auto"/>
        <w:ind w:firstLine="540"/>
        <w:rPr>
          <w:sz w:val="28"/>
          <w:szCs w:val="28"/>
        </w:rPr>
      </w:pPr>
      <w:r>
        <w:rPr>
          <w:rFonts w:hint="eastAsia" w:ascii="仿宋" w:hAnsi="仿宋" w:eastAsia="仿宋" w:cs="仿宋"/>
          <w:color w:val="000000"/>
          <w:sz w:val="32"/>
          <w:szCs w:val="32"/>
        </w:rPr>
        <w:t>部分教学单位已经完成对本单位教师首轮在线教学督导听课任务，已经进入第二轮提升在线教学质量专项教学督导工作阶段。文学院本周督导从教学内容转化为教学技能，督导组从教学质量、教学效果进行督导，要求督导参与教师组织的教学活动，从教学技巧、教学方法等方面总结意见并给与任课教师建议和对策。学前教育与特殊教育学院所有教师均已完成至少一次被督导，授课教师们在线上教学的过程中整体表现优秀，尤其是55岁以上的老教师，逐渐克服了电脑及软件使用不熟练、眼花、动作较慢等困难，基本适应了在线教学模式，能够圆满的完成教学任务。</w:t>
      </w:r>
    </w:p>
    <w:p>
      <w:pPr>
        <w:spacing w:line="360" w:lineRule="auto"/>
        <w:ind w:firstLine="640" w:firstLineChars="200"/>
        <w:jc w:val="left"/>
        <w:outlineLvl w:val="1"/>
        <w:rPr>
          <w:rFonts w:ascii="楷体" w:hAnsi="楷体" w:eastAsia="楷体" w:cs="仿宋"/>
          <w:color w:val="000000"/>
          <w:sz w:val="32"/>
          <w:szCs w:val="32"/>
        </w:rPr>
      </w:pPr>
      <w:r>
        <w:rPr>
          <w:rFonts w:hint="eastAsia" w:ascii="楷体" w:hAnsi="楷体" w:eastAsia="楷体" w:cs="仿宋"/>
          <w:color w:val="000000"/>
          <w:sz w:val="32"/>
          <w:szCs w:val="32"/>
        </w:rPr>
        <w:t>（二）组织征集“云端”教学典型案例，有效调动教师的积极性与主动性</w:t>
      </w:r>
    </w:p>
    <w:p>
      <w:pPr>
        <w:pStyle w:val="4"/>
        <w:widowControl/>
        <w:spacing w:beforeAutospacing="0" w:afterAutospacing="0" w:line="600" w:lineRule="atLeast"/>
        <w:ind w:firstLine="640"/>
        <w:jc w:val="center"/>
        <w:rPr>
          <w:rFonts w:hint="default"/>
        </w:rPr>
      </w:pPr>
      <w:r>
        <w:rPr>
          <w:rFonts w:ascii="仿宋" w:hAnsi="仿宋" w:eastAsia="仿宋" w:cs="仿宋"/>
          <w:b w:val="0"/>
          <w:color w:val="000000"/>
          <w:kern w:val="2"/>
          <w:sz w:val="32"/>
          <w:szCs w:val="32"/>
          <w:lang w:bidi="ar-SA"/>
        </w:rPr>
        <w:t>为持续推动线上教学，贯彻“停课不停教，停课不停学”</w:t>
      </w:r>
    </w:p>
    <w:p>
      <w:pPr>
        <w:rPr>
          <w:rFonts w:hint="eastAsia" w:ascii="仿宋" w:hAnsi="仿宋" w:eastAsia="仿宋" w:cs="仿宋"/>
          <w:color w:val="000000"/>
          <w:sz w:val="32"/>
          <w:szCs w:val="32"/>
        </w:rPr>
      </w:pPr>
      <w:bookmarkStart w:id="9" w:name="_GoBack"/>
      <w:bookmarkEnd w:id="9"/>
      <w:r>
        <w:rPr>
          <w:rFonts w:ascii="仿宋" w:hAnsi="仿宋" w:eastAsia="仿宋" w:cs="仿宋"/>
          <w:color w:val="000000"/>
          <w:sz w:val="32"/>
          <w:szCs w:val="32"/>
        </w:rPr>
        <w:t>理念，下发《关于征集全校在线教学典型案例及推荐在线教学观摩课的通知》，通过二级单位和学校教学督导组遴选推荐了疫情防控期间在线教学典型案例59个。通过典型案例的征集，提升教师线上教学的积极性和主动性，树立广大教师学习的标杆与榜样，有力的促进线上教学的持续稳定开展。</w:t>
      </w:r>
    </w:p>
    <w:p>
      <w:pPr>
        <w:ind w:firstLine="640" w:firstLineChars="200"/>
        <w:rPr>
          <w:rFonts w:ascii="仿宋" w:hAnsi="仿宋" w:eastAsia="仿宋" w:cs="仿宋"/>
          <w:color w:val="000000"/>
          <w:sz w:val="32"/>
          <w:szCs w:val="32"/>
        </w:rPr>
      </w:pPr>
      <w:r>
        <w:rPr>
          <w:rFonts w:ascii="仿宋" w:hAnsi="仿宋" w:eastAsia="仿宋" w:cs="仿宋"/>
          <w:color w:val="000000"/>
          <w:sz w:val="32"/>
          <w:szCs w:val="32"/>
        </w:rPr>
        <w:t>蒙古学学院常晓琴老师负责的《现代蒙古语》课程教学团队，首次开展在线蒙古语言文字教学工作，通过增强教学反思和教学改进，以课堂反馈、学生反馈、同行和督导反馈、考核反馈的形式，及时了解和掌握教学内容、教学实施和教学考核等各环节中存在的问题，及时总结，提出有针对性的整改措施，进一步优化完善教学内容、改进教学模式、方法和手段及考核方式，不断提高教学效果和教学质量。数学与计算机科学学院白彦辉老师负责的《数据库原理及应用》课程教学团队，通过</w:t>
      </w:r>
      <w:r>
        <w:rPr>
          <w:rFonts w:hint="eastAsia" w:ascii="仿宋" w:hAnsi="仿宋" w:eastAsia="仿宋" w:cs="仿宋"/>
          <w:color w:val="000000"/>
          <w:sz w:val="32"/>
          <w:szCs w:val="32"/>
        </w:rPr>
        <w:t>采用瞩目直播软件，并配合</w:t>
      </w:r>
      <w:r>
        <w:rPr>
          <w:rFonts w:ascii="仿宋" w:hAnsi="仿宋" w:eastAsia="仿宋" w:cs="仿宋"/>
          <w:color w:val="000000"/>
          <w:sz w:val="32"/>
          <w:szCs w:val="32"/>
        </w:rPr>
        <w:t>超星 MOOC 平台</w:t>
      </w:r>
      <w:r>
        <w:rPr>
          <w:rFonts w:hint="eastAsia" w:ascii="仿宋" w:hAnsi="仿宋" w:eastAsia="仿宋" w:cs="仿宋"/>
          <w:color w:val="000000"/>
          <w:sz w:val="32"/>
          <w:szCs w:val="32"/>
        </w:rPr>
        <w:t>和手机端学习通APP，组织学生进行丰富多彩的教学活动，根据不同的教学内容，选择不同形式的教学方式，形成“导学、促学、督学”的教学模式，达到以自学为主，助学为辅的目标。</w:t>
      </w:r>
    </w:p>
    <w:p>
      <w:pPr>
        <w:spacing w:line="360" w:lineRule="auto"/>
        <w:ind w:firstLine="640" w:firstLineChars="200"/>
        <w:rPr>
          <w:rFonts w:ascii="仿宋" w:hAnsi="仿宋" w:eastAsia="仿宋" w:cs="仿宋"/>
          <w:color w:val="000000"/>
          <w:sz w:val="32"/>
          <w:szCs w:val="32"/>
        </w:rPr>
      </w:pPr>
      <w:r>
        <w:rPr>
          <w:rFonts w:hint="eastAsia" w:ascii="楷体" w:hAnsi="楷体" w:eastAsia="楷体" w:cs="仿宋"/>
          <w:color w:val="000000"/>
          <w:sz w:val="32"/>
          <w:szCs w:val="32"/>
        </w:rPr>
        <w:t>（三）有序开展“云端”专题教研活动，有效激发教学基层组织的活力</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为更好地保障和提高在线教学质量，各教学单位开展形式多样的在线教学教研活动，取得了良好的效果。师范学院督导组组织四个专业教研室主任就近期网课运行展开专题教研活动和网课反馈会议，班子成员深入网络课堂，开展网上督学工作，确保近</w:t>
      </w:r>
      <w:r>
        <w:rPr>
          <w:rFonts w:ascii="仿宋" w:hAnsi="仿宋" w:eastAsia="仿宋" w:cs="仿宋"/>
          <w:color w:val="000000"/>
          <w:sz w:val="32"/>
          <w:szCs w:val="32"/>
        </w:rPr>
        <w:t>1000</w:t>
      </w:r>
      <w:r>
        <w:rPr>
          <w:rFonts w:hint="eastAsia" w:ascii="仿宋" w:hAnsi="仿宋" w:eastAsia="仿宋" w:cs="仿宋"/>
          <w:color w:val="000000"/>
          <w:sz w:val="32"/>
          <w:szCs w:val="32"/>
        </w:rPr>
        <w:t>名学生网课正常有序高效展开。为准确把握网络教学的运行时间、质量、效果，师范学院教学督导组听取了四个教研室对近期网络教学工作的总结与汇报，对网络教学工作中存在的具体问题逐一加以解决，并对下一阶段工作提出具体安排。</w:t>
      </w:r>
    </w:p>
    <w:p>
      <w:pPr>
        <w:spacing w:line="360" w:lineRule="auto"/>
        <w:ind w:firstLine="640" w:firstLineChars="200"/>
        <w:jc w:val="left"/>
        <w:outlineLvl w:val="1"/>
        <w:rPr>
          <w:rFonts w:ascii="楷体" w:hAnsi="楷体" w:eastAsia="楷体" w:cs="仿宋"/>
          <w:color w:val="000000"/>
          <w:sz w:val="32"/>
          <w:szCs w:val="32"/>
        </w:rPr>
      </w:pPr>
      <w:r>
        <w:rPr>
          <w:rFonts w:hint="eastAsia" w:ascii="楷体" w:hAnsi="楷体" w:eastAsia="楷体" w:cs="仿宋"/>
          <w:color w:val="000000"/>
          <w:sz w:val="32"/>
          <w:szCs w:val="32"/>
        </w:rPr>
        <w:t>（四） 有力开展“云端”毕业论文指导工作，有效探索毕业论文工作新模式</w:t>
      </w:r>
    </w:p>
    <w:p>
      <w:pPr>
        <w:pStyle w:val="4"/>
        <w:widowControl/>
        <w:spacing w:beforeAutospacing="0" w:afterAutospacing="0" w:line="600" w:lineRule="atLeast"/>
        <w:ind w:firstLine="640" w:firstLineChars="200"/>
        <w:rPr>
          <w:rFonts w:hint="default" w:ascii="仿宋" w:hAnsi="仿宋" w:eastAsia="仿宋" w:cs="仿宋"/>
          <w:color w:val="000000"/>
          <w:sz w:val="32"/>
          <w:szCs w:val="32"/>
        </w:rPr>
      </w:pPr>
      <w:r>
        <w:rPr>
          <w:rFonts w:ascii="仿宋" w:hAnsi="仿宋" w:eastAsia="仿宋" w:cs="仿宋"/>
          <w:b w:val="0"/>
          <w:color w:val="000000"/>
          <w:kern w:val="2"/>
          <w:sz w:val="32"/>
          <w:szCs w:val="32"/>
          <w:lang w:bidi="ar-SA"/>
        </w:rPr>
        <w:t>各教学单位根据《关于做好疫情防控期间我校2020届本科毕业论文（设计）工作的通知》（赤院教字〔2020〕8号），结合各类专业人才培养方案要求，以在线指导、在线检查等方式开展实施我校2020届本科毕业论文各项工作。本周，美术学院线上开展了2020届毕业生毕业作品创作中期检查。此次毕业作品创作中期检查以网络视频会议的形式分组分批进行，根据专业方向分为油画、综合材料、国画、版画、民族手工艺、平面、动画、室内设计等8个组别，每个组别安排3至5位指导教师负责线上点评和专业指导。线上检查中，毕业生依次汇报了自己的毕业创作构思、创作进展等情况，展示了毕业作品的草图和正稿，并与指导教师围绕自己在创作过程中遇到的困难和疑问进行了沟通交流。</w:t>
      </w:r>
    </w:p>
    <w:p>
      <w:pPr>
        <w:ind w:firstLine="640" w:firstLineChars="200"/>
        <w:rPr>
          <w:rFonts w:ascii="黑体" w:hAnsi="黑体" w:eastAsia="黑体"/>
          <w:color w:val="000000"/>
          <w:sz w:val="32"/>
          <w:szCs w:val="32"/>
        </w:rPr>
      </w:pPr>
      <w:r>
        <w:rPr>
          <w:rFonts w:hint="eastAsia" w:ascii="黑体" w:hAnsi="黑体" w:eastAsia="黑体"/>
          <w:color w:val="000000"/>
          <w:sz w:val="32"/>
          <w:szCs w:val="32"/>
        </w:rPr>
        <w:t>四</w:t>
      </w:r>
      <w:r>
        <w:rPr>
          <w:rFonts w:ascii="黑体" w:hAnsi="黑体" w:eastAsia="黑体"/>
          <w:color w:val="000000"/>
          <w:sz w:val="32"/>
          <w:szCs w:val="32"/>
        </w:rPr>
        <w:t>、</w:t>
      </w:r>
      <w:r>
        <w:rPr>
          <w:rFonts w:hint="eastAsia" w:ascii="黑体" w:hAnsi="黑体" w:eastAsia="黑体"/>
          <w:color w:val="000000"/>
          <w:sz w:val="32"/>
          <w:szCs w:val="32"/>
        </w:rPr>
        <w:t>总</w:t>
      </w:r>
      <w:r>
        <w:rPr>
          <w:rFonts w:ascii="黑体" w:hAnsi="黑体" w:eastAsia="黑体"/>
          <w:color w:val="000000"/>
          <w:sz w:val="32"/>
          <w:szCs w:val="32"/>
        </w:rPr>
        <w:t>结</w:t>
      </w:r>
    </w:p>
    <w:p>
      <w:pPr>
        <w:spacing w:line="360" w:lineRule="auto"/>
        <w:ind w:firstLine="640" w:firstLineChars="200"/>
        <w:jc w:val="left"/>
        <w:outlineLvl w:val="1"/>
        <w:rPr>
          <w:rFonts w:ascii="宋体" w:hAnsi="宋体"/>
          <w:bCs/>
          <w:color w:val="000000"/>
          <w:sz w:val="28"/>
          <w:szCs w:val="28"/>
        </w:rPr>
      </w:pPr>
      <w:r>
        <w:rPr>
          <w:rFonts w:hint="eastAsia" w:ascii="仿宋" w:hAnsi="仿宋" w:eastAsia="仿宋" w:cs="仿宋"/>
          <w:color w:val="000000"/>
          <w:sz w:val="32"/>
          <w:szCs w:val="32"/>
        </w:rPr>
        <w:t>从教学总体运行情况和教学质量监控与督导情况来看，我校第六周线上教学秩序持续良好，教学管理工作井然有序，网络教学平台运行稳定，教师教学方式方法有了显著提升。学校将继续以疫情防控期间信息化教学为契机，鼓励教师深入学习研究“互联网+”教学模式及信息化教学工具的有效使用，不断探索创新在线教学模式，进一步提升在线教学能力、水平和质量。</w:t>
      </w:r>
    </w:p>
    <w:p>
      <w:pPr>
        <w:rPr>
          <w:rFonts w:asciiTheme="minorEastAsia" w:hAnsiTheme="minorEastAsia"/>
          <w:bCs/>
          <w:color w:val="000000" w:themeColor="text1"/>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nk Qagan Tig">
    <w:panose1 w:val="02000500000000000000"/>
    <w:charset w:val="00"/>
    <w:family w:val="auto"/>
    <w:pitch w:val="default"/>
    <w:sig w:usb0="A000029F" w:usb1="1041E44A" w:usb2="00020012" w:usb3="00000000" w:csb0="00000003"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Mongolian Baiti">
    <w:panose1 w:val="03000500000000000000"/>
    <w:charset w:val="00"/>
    <w:family w:val="script"/>
    <w:pitch w:val="default"/>
    <w:sig w:usb0="80000023" w:usb1="00000000" w:usb2="00020000" w:usb3="00000000" w:csb0="0000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2010600030101010101"/>
    <w:charset w:val="86"/>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3215"/>
    </w:sdtPr>
    <w:sdtContent>
      <w:p>
        <w:pPr>
          <w:pStyle w:val="9"/>
          <w:jc w:val="center"/>
        </w:pPr>
        <w:r>
          <w:fldChar w:fldCharType="begin"/>
        </w:r>
        <w:r>
          <w:instrText xml:space="preserve">PAGE   \* MERGEFORMAT</w:instrText>
        </w:r>
        <w:r>
          <w:fldChar w:fldCharType="separate"/>
        </w:r>
        <w:r>
          <w:rPr>
            <w:lang w:val="zh-CN"/>
          </w:rPr>
          <w:t>9</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B3EBE7"/>
    <w:multiLevelType w:val="singleLevel"/>
    <w:tmpl w:val="F7B3EBE7"/>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5ED3"/>
    <w:rsid w:val="00002B70"/>
    <w:rsid w:val="000040B7"/>
    <w:rsid w:val="00011C80"/>
    <w:rsid w:val="00015677"/>
    <w:rsid w:val="000163E4"/>
    <w:rsid w:val="00022784"/>
    <w:rsid w:val="0004399D"/>
    <w:rsid w:val="00062432"/>
    <w:rsid w:val="000678A6"/>
    <w:rsid w:val="00081AC3"/>
    <w:rsid w:val="00083992"/>
    <w:rsid w:val="0009272A"/>
    <w:rsid w:val="0009393C"/>
    <w:rsid w:val="000966C3"/>
    <w:rsid w:val="000A090C"/>
    <w:rsid w:val="000A0B8F"/>
    <w:rsid w:val="000A1A68"/>
    <w:rsid w:val="000C1B98"/>
    <w:rsid w:val="000C1C88"/>
    <w:rsid w:val="000E5DD0"/>
    <w:rsid w:val="000E6EFE"/>
    <w:rsid w:val="001040AD"/>
    <w:rsid w:val="00111926"/>
    <w:rsid w:val="001210F1"/>
    <w:rsid w:val="00121C50"/>
    <w:rsid w:val="00135A3C"/>
    <w:rsid w:val="00136BF2"/>
    <w:rsid w:val="00137E78"/>
    <w:rsid w:val="001414CF"/>
    <w:rsid w:val="0014290A"/>
    <w:rsid w:val="00143C26"/>
    <w:rsid w:val="00146804"/>
    <w:rsid w:val="00163BEC"/>
    <w:rsid w:val="00163D30"/>
    <w:rsid w:val="001808A6"/>
    <w:rsid w:val="0018206D"/>
    <w:rsid w:val="00186287"/>
    <w:rsid w:val="00195B04"/>
    <w:rsid w:val="001A2ADC"/>
    <w:rsid w:val="001A3E9F"/>
    <w:rsid w:val="001B674B"/>
    <w:rsid w:val="001C5E33"/>
    <w:rsid w:val="001E3424"/>
    <w:rsid w:val="001E498D"/>
    <w:rsid w:val="001E6917"/>
    <w:rsid w:val="001E7007"/>
    <w:rsid w:val="001F270B"/>
    <w:rsid w:val="001F2E66"/>
    <w:rsid w:val="001F524C"/>
    <w:rsid w:val="001F526B"/>
    <w:rsid w:val="00215FDA"/>
    <w:rsid w:val="00220796"/>
    <w:rsid w:val="00234833"/>
    <w:rsid w:val="0024130C"/>
    <w:rsid w:val="002438D7"/>
    <w:rsid w:val="00253FB1"/>
    <w:rsid w:val="00254A33"/>
    <w:rsid w:val="00255646"/>
    <w:rsid w:val="00280E07"/>
    <w:rsid w:val="00285DC3"/>
    <w:rsid w:val="002911D8"/>
    <w:rsid w:val="002979F7"/>
    <w:rsid w:val="002A3F54"/>
    <w:rsid w:val="002A4165"/>
    <w:rsid w:val="002B4049"/>
    <w:rsid w:val="002B6BE2"/>
    <w:rsid w:val="002E2461"/>
    <w:rsid w:val="002E476D"/>
    <w:rsid w:val="002E5977"/>
    <w:rsid w:val="003118D5"/>
    <w:rsid w:val="00311FF1"/>
    <w:rsid w:val="00313CCD"/>
    <w:rsid w:val="00314C4E"/>
    <w:rsid w:val="00335AC9"/>
    <w:rsid w:val="003401E6"/>
    <w:rsid w:val="00344BA9"/>
    <w:rsid w:val="00351917"/>
    <w:rsid w:val="00352162"/>
    <w:rsid w:val="0036742E"/>
    <w:rsid w:val="00374625"/>
    <w:rsid w:val="00383894"/>
    <w:rsid w:val="003919E9"/>
    <w:rsid w:val="00394347"/>
    <w:rsid w:val="003A3B04"/>
    <w:rsid w:val="003B1294"/>
    <w:rsid w:val="003B29F5"/>
    <w:rsid w:val="003C1AE0"/>
    <w:rsid w:val="003D11BB"/>
    <w:rsid w:val="003F2246"/>
    <w:rsid w:val="003F5B5E"/>
    <w:rsid w:val="004108C1"/>
    <w:rsid w:val="00410C67"/>
    <w:rsid w:val="00415C3C"/>
    <w:rsid w:val="00422C07"/>
    <w:rsid w:val="00424ADD"/>
    <w:rsid w:val="00425A76"/>
    <w:rsid w:val="00427A1F"/>
    <w:rsid w:val="00436003"/>
    <w:rsid w:val="00443407"/>
    <w:rsid w:val="00470060"/>
    <w:rsid w:val="004720C8"/>
    <w:rsid w:val="004728D9"/>
    <w:rsid w:val="00472B7C"/>
    <w:rsid w:val="004830B5"/>
    <w:rsid w:val="004A1D87"/>
    <w:rsid w:val="004A5F5D"/>
    <w:rsid w:val="004B34D3"/>
    <w:rsid w:val="004B3AF9"/>
    <w:rsid w:val="004B5677"/>
    <w:rsid w:val="004B5EEB"/>
    <w:rsid w:val="004C5A5D"/>
    <w:rsid w:val="004C6275"/>
    <w:rsid w:val="004E5ED3"/>
    <w:rsid w:val="004F26F7"/>
    <w:rsid w:val="004F65E3"/>
    <w:rsid w:val="004F79A0"/>
    <w:rsid w:val="005012E2"/>
    <w:rsid w:val="00505690"/>
    <w:rsid w:val="005068AE"/>
    <w:rsid w:val="00511128"/>
    <w:rsid w:val="00515E25"/>
    <w:rsid w:val="00522CCD"/>
    <w:rsid w:val="005358FB"/>
    <w:rsid w:val="00545E24"/>
    <w:rsid w:val="005503D9"/>
    <w:rsid w:val="00551187"/>
    <w:rsid w:val="00576CF0"/>
    <w:rsid w:val="00580C9E"/>
    <w:rsid w:val="005828E5"/>
    <w:rsid w:val="005879FB"/>
    <w:rsid w:val="00593E26"/>
    <w:rsid w:val="005A39EE"/>
    <w:rsid w:val="005A45FB"/>
    <w:rsid w:val="005B6A37"/>
    <w:rsid w:val="005C2D45"/>
    <w:rsid w:val="005C3D47"/>
    <w:rsid w:val="005D392D"/>
    <w:rsid w:val="005E0999"/>
    <w:rsid w:val="005E1A28"/>
    <w:rsid w:val="005E3F64"/>
    <w:rsid w:val="005E68E7"/>
    <w:rsid w:val="005F01CA"/>
    <w:rsid w:val="005F29B1"/>
    <w:rsid w:val="005F4AF8"/>
    <w:rsid w:val="00615BAF"/>
    <w:rsid w:val="0061621C"/>
    <w:rsid w:val="00621993"/>
    <w:rsid w:val="00622AC5"/>
    <w:rsid w:val="00626445"/>
    <w:rsid w:val="00647087"/>
    <w:rsid w:val="00661880"/>
    <w:rsid w:val="0066639B"/>
    <w:rsid w:val="00667436"/>
    <w:rsid w:val="00673BBE"/>
    <w:rsid w:val="006765A7"/>
    <w:rsid w:val="0068085A"/>
    <w:rsid w:val="006817D9"/>
    <w:rsid w:val="0068543B"/>
    <w:rsid w:val="0069127D"/>
    <w:rsid w:val="006923D3"/>
    <w:rsid w:val="006951F8"/>
    <w:rsid w:val="006A1163"/>
    <w:rsid w:val="006B2354"/>
    <w:rsid w:val="006B69E1"/>
    <w:rsid w:val="006C650A"/>
    <w:rsid w:val="006C7A2E"/>
    <w:rsid w:val="006D263D"/>
    <w:rsid w:val="006E050D"/>
    <w:rsid w:val="006E07E9"/>
    <w:rsid w:val="006F5419"/>
    <w:rsid w:val="00721CFF"/>
    <w:rsid w:val="0072279F"/>
    <w:rsid w:val="007326DF"/>
    <w:rsid w:val="0074228C"/>
    <w:rsid w:val="00742F33"/>
    <w:rsid w:val="00746080"/>
    <w:rsid w:val="00753D76"/>
    <w:rsid w:val="00771025"/>
    <w:rsid w:val="00780AD1"/>
    <w:rsid w:val="007A0D92"/>
    <w:rsid w:val="007C6BFB"/>
    <w:rsid w:val="007F6433"/>
    <w:rsid w:val="00800BC3"/>
    <w:rsid w:val="008011EC"/>
    <w:rsid w:val="008016E0"/>
    <w:rsid w:val="00811872"/>
    <w:rsid w:val="008158CF"/>
    <w:rsid w:val="0082228E"/>
    <w:rsid w:val="008229B9"/>
    <w:rsid w:val="00835E47"/>
    <w:rsid w:val="00842DCD"/>
    <w:rsid w:val="00854966"/>
    <w:rsid w:val="00870EC9"/>
    <w:rsid w:val="00876480"/>
    <w:rsid w:val="00885655"/>
    <w:rsid w:val="00887447"/>
    <w:rsid w:val="008979C0"/>
    <w:rsid w:val="008A620D"/>
    <w:rsid w:val="008B475C"/>
    <w:rsid w:val="008C26F8"/>
    <w:rsid w:val="008D076C"/>
    <w:rsid w:val="008D6774"/>
    <w:rsid w:val="008E65FE"/>
    <w:rsid w:val="008F1132"/>
    <w:rsid w:val="00904AA8"/>
    <w:rsid w:val="00912CEE"/>
    <w:rsid w:val="00920370"/>
    <w:rsid w:val="00927A75"/>
    <w:rsid w:val="00963414"/>
    <w:rsid w:val="00963677"/>
    <w:rsid w:val="009847EF"/>
    <w:rsid w:val="00986A04"/>
    <w:rsid w:val="009B3C34"/>
    <w:rsid w:val="009E0467"/>
    <w:rsid w:val="009E325B"/>
    <w:rsid w:val="009E49F2"/>
    <w:rsid w:val="009F332E"/>
    <w:rsid w:val="009F3F6A"/>
    <w:rsid w:val="009F77E5"/>
    <w:rsid w:val="009F7B5F"/>
    <w:rsid w:val="00A01CA4"/>
    <w:rsid w:val="00A06A41"/>
    <w:rsid w:val="00A1614B"/>
    <w:rsid w:val="00A20D9F"/>
    <w:rsid w:val="00A230CF"/>
    <w:rsid w:val="00A24A95"/>
    <w:rsid w:val="00A305B2"/>
    <w:rsid w:val="00A340E2"/>
    <w:rsid w:val="00A41948"/>
    <w:rsid w:val="00A420A9"/>
    <w:rsid w:val="00A62C10"/>
    <w:rsid w:val="00A63B6C"/>
    <w:rsid w:val="00A63EE8"/>
    <w:rsid w:val="00A71001"/>
    <w:rsid w:val="00A710FB"/>
    <w:rsid w:val="00A83F6C"/>
    <w:rsid w:val="00A94ACF"/>
    <w:rsid w:val="00A95916"/>
    <w:rsid w:val="00AA09F3"/>
    <w:rsid w:val="00AA6920"/>
    <w:rsid w:val="00AA7061"/>
    <w:rsid w:val="00AB031E"/>
    <w:rsid w:val="00AB3083"/>
    <w:rsid w:val="00AB7731"/>
    <w:rsid w:val="00AC5A6F"/>
    <w:rsid w:val="00AF5AFE"/>
    <w:rsid w:val="00B0388D"/>
    <w:rsid w:val="00B20F82"/>
    <w:rsid w:val="00B27B3A"/>
    <w:rsid w:val="00B3112A"/>
    <w:rsid w:val="00B35C21"/>
    <w:rsid w:val="00B37DF0"/>
    <w:rsid w:val="00B520B2"/>
    <w:rsid w:val="00B63559"/>
    <w:rsid w:val="00B65892"/>
    <w:rsid w:val="00B722F8"/>
    <w:rsid w:val="00B730C4"/>
    <w:rsid w:val="00B82822"/>
    <w:rsid w:val="00B9214B"/>
    <w:rsid w:val="00B9558E"/>
    <w:rsid w:val="00B970F2"/>
    <w:rsid w:val="00BA68D0"/>
    <w:rsid w:val="00BB0409"/>
    <w:rsid w:val="00BD5C1D"/>
    <w:rsid w:val="00BD6794"/>
    <w:rsid w:val="00BD7E5C"/>
    <w:rsid w:val="00C12537"/>
    <w:rsid w:val="00C13E28"/>
    <w:rsid w:val="00C26CA5"/>
    <w:rsid w:val="00C53081"/>
    <w:rsid w:val="00C604FE"/>
    <w:rsid w:val="00C63CAE"/>
    <w:rsid w:val="00C86ABC"/>
    <w:rsid w:val="00C947CB"/>
    <w:rsid w:val="00CA74EF"/>
    <w:rsid w:val="00CA7F06"/>
    <w:rsid w:val="00CB1DB9"/>
    <w:rsid w:val="00CC5912"/>
    <w:rsid w:val="00CD47A8"/>
    <w:rsid w:val="00CD66C5"/>
    <w:rsid w:val="00CD7290"/>
    <w:rsid w:val="00CF2041"/>
    <w:rsid w:val="00CF339B"/>
    <w:rsid w:val="00CF5143"/>
    <w:rsid w:val="00CF5FE0"/>
    <w:rsid w:val="00D007A5"/>
    <w:rsid w:val="00D018F1"/>
    <w:rsid w:val="00D0709E"/>
    <w:rsid w:val="00D12722"/>
    <w:rsid w:val="00D23211"/>
    <w:rsid w:val="00D3453F"/>
    <w:rsid w:val="00D40927"/>
    <w:rsid w:val="00D40F68"/>
    <w:rsid w:val="00D477A5"/>
    <w:rsid w:val="00D52795"/>
    <w:rsid w:val="00D63111"/>
    <w:rsid w:val="00D66100"/>
    <w:rsid w:val="00D76B92"/>
    <w:rsid w:val="00D854BA"/>
    <w:rsid w:val="00D92EAC"/>
    <w:rsid w:val="00D97037"/>
    <w:rsid w:val="00DA1B95"/>
    <w:rsid w:val="00DA1FD3"/>
    <w:rsid w:val="00DA41F0"/>
    <w:rsid w:val="00DB70B7"/>
    <w:rsid w:val="00DB740E"/>
    <w:rsid w:val="00DE1564"/>
    <w:rsid w:val="00DE396D"/>
    <w:rsid w:val="00DE6D1E"/>
    <w:rsid w:val="00E04822"/>
    <w:rsid w:val="00E47BE7"/>
    <w:rsid w:val="00E56882"/>
    <w:rsid w:val="00E6162F"/>
    <w:rsid w:val="00E64953"/>
    <w:rsid w:val="00E9319B"/>
    <w:rsid w:val="00EA40B4"/>
    <w:rsid w:val="00EB10FD"/>
    <w:rsid w:val="00ED1017"/>
    <w:rsid w:val="00F03DF2"/>
    <w:rsid w:val="00F05DE4"/>
    <w:rsid w:val="00F06F6A"/>
    <w:rsid w:val="00F13CE8"/>
    <w:rsid w:val="00F1567A"/>
    <w:rsid w:val="00F30A39"/>
    <w:rsid w:val="00F32AE6"/>
    <w:rsid w:val="00F3732A"/>
    <w:rsid w:val="00F43C83"/>
    <w:rsid w:val="00F43E6D"/>
    <w:rsid w:val="00F4576A"/>
    <w:rsid w:val="00F65FCD"/>
    <w:rsid w:val="00F6753D"/>
    <w:rsid w:val="00F73D41"/>
    <w:rsid w:val="00F800D9"/>
    <w:rsid w:val="00F87E9A"/>
    <w:rsid w:val="00F9265F"/>
    <w:rsid w:val="00F93525"/>
    <w:rsid w:val="00FC4394"/>
    <w:rsid w:val="00FC5214"/>
    <w:rsid w:val="00FC7907"/>
    <w:rsid w:val="00FE425D"/>
    <w:rsid w:val="00FF5819"/>
    <w:rsid w:val="010A5074"/>
    <w:rsid w:val="03271FC9"/>
    <w:rsid w:val="06FF28FA"/>
    <w:rsid w:val="090C0409"/>
    <w:rsid w:val="0AEA4F57"/>
    <w:rsid w:val="0ED41EC3"/>
    <w:rsid w:val="0F3F71AE"/>
    <w:rsid w:val="0F956DB2"/>
    <w:rsid w:val="191D33CF"/>
    <w:rsid w:val="19DF2DE7"/>
    <w:rsid w:val="1BC55EFC"/>
    <w:rsid w:val="21067BC6"/>
    <w:rsid w:val="223C7193"/>
    <w:rsid w:val="2A235B62"/>
    <w:rsid w:val="301B1F0E"/>
    <w:rsid w:val="321822AD"/>
    <w:rsid w:val="32427D94"/>
    <w:rsid w:val="36E54119"/>
    <w:rsid w:val="37810634"/>
    <w:rsid w:val="38581D5B"/>
    <w:rsid w:val="39EA2FA6"/>
    <w:rsid w:val="3B80252B"/>
    <w:rsid w:val="3B8A719A"/>
    <w:rsid w:val="3BAE22BB"/>
    <w:rsid w:val="407A0AE2"/>
    <w:rsid w:val="411F3395"/>
    <w:rsid w:val="435114CC"/>
    <w:rsid w:val="48270BD4"/>
    <w:rsid w:val="4D3033C4"/>
    <w:rsid w:val="55DD77E0"/>
    <w:rsid w:val="57356829"/>
    <w:rsid w:val="5AF978B0"/>
    <w:rsid w:val="5B9C5B22"/>
    <w:rsid w:val="5C2F0FAE"/>
    <w:rsid w:val="5E432B6C"/>
    <w:rsid w:val="5FA17571"/>
    <w:rsid w:val="603B221D"/>
    <w:rsid w:val="60817D8E"/>
    <w:rsid w:val="6A557219"/>
    <w:rsid w:val="716F3BCA"/>
    <w:rsid w:val="719A200D"/>
    <w:rsid w:val="76273E09"/>
    <w:rsid w:val="78FE28A7"/>
    <w:rsid w:val="7ABF269D"/>
    <w:rsid w:val="7B545FF4"/>
    <w:rsid w:val="7F797BF5"/>
    <w:rsid w:val="7FEF717C"/>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24"/>
    <w:qFormat/>
    <w:uiPriority w:val="9"/>
    <w:pPr>
      <w:keepNext/>
      <w:keepLines/>
      <w:spacing w:before="120" w:after="120" w:line="360" w:lineRule="auto"/>
      <w:outlineLvl w:val="0"/>
    </w:pPr>
    <w:rPr>
      <w:rFonts w:cs="Menk Qagan Tig"/>
      <w:b/>
      <w:bCs/>
      <w:kern w:val="44"/>
      <w:sz w:val="24"/>
      <w:szCs w:val="56"/>
      <w:lang w:bidi="mn-Mong-CN"/>
    </w:rPr>
  </w:style>
  <w:style w:type="paragraph" w:styleId="3">
    <w:name w:val="heading 2"/>
    <w:basedOn w:val="1"/>
    <w:next w:val="1"/>
    <w:link w:val="25"/>
    <w:qFormat/>
    <w:uiPriority w:val="9"/>
    <w:pPr>
      <w:keepNext/>
      <w:keepLines/>
      <w:spacing w:line="360" w:lineRule="auto"/>
      <w:outlineLvl w:val="1"/>
    </w:pPr>
    <w:rPr>
      <w:rFonts w:ascii="Cambria" w:hAnsi="Cambria"/>
      <w:b/>
      <w:bCs/>
      <w:sz w:val="24"/>
      <w:szCs w:val="40"/>
      <w:lang w:bidi="mn-Mong-CN"/>
    </w:rPr>
  </w:style>
  <w:style w:type="paragraph" w:styleId="4">
    <w:name w:val="heading 3"/>
    <w:basedOn w:val="1"/>
    <w:next w:val="1"/>
    <w:unhideWhenUsed/>
    <w:qFormat/>
    <w:uiPriority w:val="9"/>
    <w:pPr>
      <w:spacing w:beforeAutospacing="1" w:afterAutospacing="1"/>
      <w:jc w:val="left"/>
      <w:outlineLvl w:val="2"/>
    </w:pPr>
    <w:rPr>
      <w:rFonts w:hint="eastAsia" w:ascii="宋体" w:hAnsi="宋体" w:cs="Times New Roman"/>
      <w:b/>
      <w:kern w:val="0"/>
      <w:sz w:val="27"/>
      <w:szCs w:val="27"/>
      <w:lang w:bidi="mn-Mong-CN"/>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ascii="Arial" w:hAnsi="Arial" w:eastAsia="黑体" w:cstheme="minorBidi"/>
      <w:sz w:val="20"/>
      <w:szCs w:val="24"/>
    </w:rPr>
  </w:style>
  <w:style w:type="paragraph" w:styleId="6">
    <w:name w:val="annotation text"/>
    <w:basedOn w:val="1"/>
    <w:link w:val="30"/>
    <w:semiHidden/>
    <w:unhideWhenUsed/>
    <w:qFormat/>
    <w:uiPriority w:val="99"/>
    <w:pPr>
      <w:jc w:val="left"/>
    </w:pPr>
  </w:style>
  <w:style w:type="paragraph" w:styleId="7">
    <w:name w:val="Date"/>
    <w:basedOn w:val="1"/>
    <w:next w:val="1"/>
    <w:link w:val="19"/>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9"/>
    <w:qFormat/>
    <w:uiPriority w:val="99"/>
    <w:pPr>
      <w:tabs>
        <w:tab w:val="center" w:pos="4153"/>
        <w:tab w:val="right" w:pos="8306"/>
      </w:tabs>
      <w:snapToGrid w:val="0"/>
      <w:jc w:val="left"/>
    </w:pPr>
    <w:rPr>
      <w:sz w:val="18"/>
      <w:szCs w:val="18"/>
    </w:rPr>
  </w:style>
  <w:style w:type="paragraph" w:styleId="10">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12">
    <w:name w:val="annotation subject"/>
    <w:basedOn w:val="6"/>
    <w:next w:val="6"/>
    <w:link w:val="31"/>
    <w:semiHidden/>
    <w:unhideWhenUsed/>
    <w:qFormat/>
    <w:uiPriority w:val="99"/>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FollowedHyperlink"/>
    <w:basedOn w:val="15"/>
    <w:semiHidden/>
    <w:unhideWhenUsed/>
    <w:qFormat/>
    <w:uiPriority w:val="99"/>
    <w:rPr>
      <w:color w:val="4C4C4C"/>
      <w:u w:val="none"/>
    </w:rPr>
  </w:style>
  <w:style w:type="character" w:styleId="17">
    <w:name w:val="Hyperlink"/>
    <w:basedOn w:val="15"/>
    <w:semiHidden/>
    <w:unhideWhenUsed/>
    <w:uiPriority w:val="99"/>
    <w:rPr>
      <w:color w:val="4C4C4C"/>
      <w:u w:val="none"/>
    </w:rPr>
  </w:style>
  <w:style w:type="character" w:styleId="18">
    <w:name w:val="annotation reference"/>
    <w:basedOn w:val="15"/>
    <w:semiHidden/>
    <w:unhideWhenUsed/>
    <w:qFormat/>
    <w:uiPriority w:val="99"/>
    <w:rPr>
      <w:sz w:val="21"/>
      <w:szCs w:val="21"/>
    </w:rPr>
  </w:style>
  <w:style w:type="character" w:customStyle="1" w:styleId="19">
    <w:name w:val="日期 Char"/>
    <w:basedOn w:val="15"/>
    <w:link w:val="7"/>
    <w:qFormat/>
    <w:uiPriority w:val="99"/>
  </w:style>
  <w:style w:type="paragraph" w:styleId="20">
    <w:name w:val="List Paragraph"/>
    <w:basedOn w:val="1"/>
    <w:qFormat/>
    <w:uiPriority w:val="34"/>
    <w:pPr>
      <w:ind w:firstLine="420" w:firstLineChars="200"/>
    </w:pPr>
  </w:style>
  <w:style w:type="character" w:customStyle="1" w:styleId="21">
    <w:name w:val="font11"/>
    <w:basedOn w:val="15"/>
    <w:qFormat/>
    <w:uiPriority w:val="0"/>
    <w:rPr>
      <w:rFonts w:hint="eastAsia" w:ascii="宋体" w:hAnsi="宋体" w:eastAsia="宋体" w:cs="宋体"/>
      <w:color w:val="000000"/>
      <w:sz w:val="20"/>
      <w:szCs w:val="20"/>
      <w:u w:val="none"/>
    </w:rPr>
  </w:style>
  <w:style w:type="character" w:customStyle="1" w:styleId="22">
    <w:name w:val="font01"/>
    <w:basedOn w:val="15"/>
    <w:qFormat/>
    <w:uiPriority w:val="0"/>
    <w:rPr>
      <w:rFonts w:hint="default" w:ascii="Arial" w:hAnsi="Arial" w:cs="Arial"/>
      <w:color w:val="000000"/>
      <w:sz w:val="20"/>
      <w:szCs w:val="20"/>
      <w:u w:val="none"/>
    </w:rPr>
  </w:style>
  <w:style w:type="character" w:customStyle="1" w:styleId="23">
    <w:name w:val="批注框文本 Char"/>
    <w:basedOn w:val="15"/>
    <w:link w:val="8"/>
    <w:qFormat/>
    <w:uiPriority w:val="99"/>
    <w:rPr>
      <w:sz w:val="18"/>
      <w:szCs w:val="18"/>
    </w:rPr>
  </w:style>
  <w:style w:type="character" w:customStyle="1" w:styleId="24">
    <w:name w:val="标题 1 Char"/>
    <w:basedOn w:val="15"/>
    <w:link w:val="2"/>
    <w:qFormat/>
    <w:uiPriority w:val="9"/>
    <w:rPr>
      <w:rFonts w:cs="Menk Qagan Tig"/>
      <w:b/>
      <w:bCs/>
      <w:kern w:val="44"/>
      <w:sz w:val="24"/>
      <w:szCs w:val="56"/>
      <w:lang w:bidi="mn-Mong-CN"/>
    </w:rPr>
  </w:style>
  <w:style w:type="character" w:customStyle="1" w:styleId="25">
    <w:name w:val="标题 2 Char"/>
    <w:basedOn w:val="15"/>
    <w:link w:val="3"/>
    <w:qFormat/>
    <w:uiPriority w:val="9"/>
    <w:rPr>
      <w:rFonts w:ascii="Cambria" w:hAnsi="Cambria" w:eastAsia="宋体" w:cs="宋体"/>
      <w:b/>
      <w:bCs/>
      <w:sz w:val="24"/>
      <w:szCs w:val="40"/>
      <w:lang w:bidi="mn-Mong-CN"/>
    </w:rPr>
  </w:style>
  <w:style w:type="paragraph" w:styleId="26">
    <w:name w:val="No Spacing"/>
    <w:link w:val="27"/>
    <w:qFormat/>
    <w:uiPriority w:val="1"/>
    <w:rPr>
      <w:rFonts w:ascii="Calibri" w:hAnsi="Calibri" w:eastAsia="宋体" w:cs="宋体"/>
      <w:sz w:val="22"/>
      <w:szCs w:val="22"/>
      <w:lang w:val="en-US" w:eastAsia="zh-CN" w:bidi="mn-Mong-CN"/>
    </w:rPr>
  </w:style>
  <w:style w:type="character" w:customStyle="1" w:styleId="27">
    <w:name w:val="无间隔 Char"/>
    <w:basedOn w:val="15"/>
    <w:link w:val="26"/>
    <w:qFormat/>
    <w:uiPriority w:val="1"/>
    <w:rPr>
      <w:kern w:val="0"/>
      <w:sz w:val="22"/>
      <w:lang w:bidi="mn-Mong-CN"/>
    </w:rPr>
  </w:style>
  <w:style w:type="character" w:customStyle="1" w:styleId="28">
    <w:name w:val="页眉 Char"/>
    <w:basedOn w:val="15"/>
    <w:link w:val="10"/>
    <w:qFormat/>
    <w:uiPriority w:val="99"/>
    <w:rPr>
      <w:sz w:val="18"/>
      <w:szCs w:val="18"/>
    </w:rPr>
  </w:style>
  <w:style w:type="character" w:customStyle="1" w:styleId="29">
    <w:name w:val="页脚 Char"/>
    <w:basedOn w:val="15"/>
    <w:link w:val="9"/>
    <w:qFormat/>
    <w:uiPriority w:val="99"/>
    <w:rPr>
      <w:sz w:val="18"/>
      <w:szCs w:val="18"/>
    </w:rPr>
  </w:style>
  <w:style w:type="character" w:customStyle="1" w:styleId="30">
    <w:name w:val="批注文字 Char"/>
    <w:basedOn w:val="15"/>
    <w:link w:val="6"/>
    <w:semiHidden/>
    <w:qFormat/>
    <w:uiPriority w:val="99"/>
    <w:rPr>
      <w:kern w:val="2"/>
      <w:sz w:val="21"/>
      <w:szCs w:val="22"/>
    </w:rPr>
  </w:style>
  <w:style w:type="character" w:customStyle="1" w:styleId="31">
    <w:name w:val="批注主题 Char"/>
    <w:basedOn w:val="30"/>
    <w:link w:val="12"/>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平台访问数据</a:t>
            </a:r>
            <a:endParaRPr lang="zh-CN" altLang="en-US"/>
          </a:p>
        </c:rich>
      </c:tx>
      <c:layout/>
      <c:overlay val="0"/>
      <c:spPr>
        <a:noFill/>
        <a:ln>
          <a:noFill/>
        </a:ln>
        <a:effectLst/>
      </c:spPr>
    </c:title>
    <c:autoTitleDeleted val="0"/>
    <c:plotArea>
      <c:layout/>
      <c:lineChart>
        <c:grouping val="standard"/>
        <c:varyColors val="0"/>
        <c:ser>
          <c:idx val="0"/>
          <c:order val="0"/>
          <c:tx>
            <c:strRef>
              <c:f>Sheet1!$B$1</c:f>
              <c:strCache>
                <c:ptCount val="1"/>
                <c:pt idx="0">
                  <c:v>平台访问量（PV）</c:v>
                </c:pt>
              </c:strCache>
            </c:strRef>
          </c:tx>
          <c:spPr>
            <a:ln w="28575" cap="rnd" cmpd="sng" algn="ctr">
              <a:solidFill>
                <a:schemeClr val="accent1"/>
              </a:solidFill>
              <a:prstDash val="solid"/>
              <a:round/>
            </a:ln>
            <a:effectLst/>
          </c:spPr>
          <c:marker>
            <c:symbol val="none"/>
          </c:marker>
          <c:dLbls>
            <c:delete val="1"/>
          </c:dLbls>
          <c:cat>
            <c:numRef>
              <c:f>Sheet1!$A$2:$A$6</c:f>
              <c:numCache>
                <c:formatCode>General</c:formatCode>
                <c:ptCount val="5"/>
                <c:pt idx="0">
                  <c:v>4.13</c:v>
                </c:pt>
                <c:pt idx="1">
                  <c:v>4.14</c:v>
                </c:pt>
                <c:pt idx="2">
                  <c:v>4.15</c:v>
                </c:pt>
                <c:pt idx="3">
                  <c:v>4.16</c:v>
                </c:pt>
                <c:pt idx="4">
                  <c:v>4.17</c:v>
                </c:pt>
              </c:numCache>
            </c:numRef>
          </c:cat>
          <c:val>
            <c:numRef>
              <c:f>Sheet1!$B$2:$B$6</c:f>
              <c:numCache>
                <c:formatCode>General</c:formatCode>
                <c:ptCount val="5"/>
                <c:pt idx="0">
                  <c:v>9742698</c:v>
                </c:pt>
                <c:pt idx="1">
                  <c:v>9346057</c:v>
                </c:pt>
                <c:pt idx="2">
                  <c:v>7922142</c:v>
                </c:pt>
                <c:pt idx="3">
                  <c:v>9092998</c:v>
                </c:pt>
                <c:pt idx="4">
                  <c:v>8175397</c:v>
                </c:pt>
              </c:numCache>
            </c:numRef>
          </c:val>
          <c:smooth val="0"/>
        </c:ser>
        <c:ser>
          <c:idx val="1"/>
          <c:order val="1"/>
          <c:tx>
            <c:strRef>
              <c:f>Sheet1!$C$1</c:f>
              <c:strCache>
                <c:ptCount val="1"/>
                <c:pt idx="0">
                  <c:v>教师使用量（PV）</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Sheet1!$C$2:$C$6</c:f>
              <c:numCache>
                <c:formatCode>General</c:formatCode>
                <c:ptCount val="5"/>
                <c:pt idx="0">
                  <c:v>329215</c:v>
                </c:pt>
                <c:pt idx="1">
                  <c:v>326448</c:v>
                </c:pt>
                <c:pt idx="2">
                  <c:v>269919</c:v>
                </c:pt>
                <c:pt idx="3">
                  <c:v>297828</c:v>
                </c:pt>
                <c:pt idx="4">
                  <c:v>267287</c:v>
                </c:pt>
              </c:numCache>
            </c:numRef>
          </c:val>
          <c:smooth val="0"/>
        </c:ser>
        <c:ser>
          <c:idx val="2"/>
          <c:order val="2"/>
          <c:tx>
            <c:strRef>
              <c:f>Sheet1!$D$1</c:f>
              <c:strCache>
                <c:ptCount val="1"/>
                <c:pt idx="0">
                  <c:v>学生使用量（PV）</c:v>
                </c:pt>
              </c:strCache>
            </c:strRef>
          </c:tx>
          <c:spPr>
            <a:ln w="28575"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Sheet1!$D$2:$D$6</c:f>
              <c:numCache>
                <c:formatCode>General</c:formatCode>
                <c:ptCount val="5"/>
                <c:pt idx="0">
                  <c:v>9413483</c:v>
                </c:pt>
                <c:pt idx="1">
                  <c:v>9019609</c:v>
                </c:pt>
                <c:pt idx="2">
                  <c:v>7652223</c:v>
                </c:pt>
                <c:pt idx="3">
                  <c:v>8795170</c:v>
                </c:pt>
                <c:pt idx="4">
                  <c:v>7908110</c:v>
                </c:pt>
              </c:numCache>
            </c:numRef>
          </c:val>
          <c:smooth val="0"/>
        </c:ser>
        <c:dLbls>
          <c:showLegendKey val="0"/>
          <c:showVal val="1"/>
          <c:showCatName val="0"/>
          <c:showSerName val="0"/>
          <c:showPercent val="0"/>
          <c:showBubbleSize val="0"/>
        </c:dLbls>
        <c:marker val="0"/>
        <c:smooth val="0"/>
        <c:axId val="187415552"/>
        <c:axId val="206538240"/>
      </c:lineChart>
      <c:catAx>
        <c:axId val="1874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6538240"/>
        <c:crosses val="autoZero"/>
        <c:auto val="1"/>
        <c:lblAlgn val="ctr"/>
        <c:lblOffset val="100"/>
        <c:noMultiLvlLbl val="0"/>
      </c:catAx>
      <c:valAx>
        <c:axId val="2065382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415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运行课程门数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Sheet1!$B$2:$B$6</c:f>
              <c:numCache>
                <c:formatCode>General</c:formatCode>
                <c:ptCount val="5"/>
                <c:pt idx="0">
                  <c:v>1003</c:v>
                </c:pt>
                <c:pt idx="1">
                  <c:v>1008</c:v>
                </c:pt>
                <c:pt idx="2">
                  <c:v>944</c:v>
                </c:pt>
                <c:pt idx="3">
                  <c:v>986</c:v>
                </c:pt>
                <c:pt idx="4">
                  <c:v>920</c:v>
                </c:pt>
              </c:numCache>
            </c:numRef>
          </c:val>
        </c:ser>
        <c:dLbls>
          <c:showLegendKey val="0"/>
          <c:showVal val="1"/>
          <c:showCatName val="0"/>
          <c:showSerName val="0"/>
          <c:showPercent val="0"/>
          <c:showBubbleSize val="0"/>
        </c:dLbls>
        <c:gapWidth val="100"/>
        <c:overlap val="-24"/>
        <c:axId val="209509376"/>
        <c:axId val="209663104"/>
      </c:barChart>
      <c:catAx>
        <c:axId val="209509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209663104"/>
        <c:crosses val="autoZero"/>
        <c:auto val="1"/>
        <c:lblAlgn val="ctr"/>
        <c:lblOffset val="100"/>
        <c:noMultiLvlLbl val="0"/>
      </c:catAx>
      <c:valAx>
        <c:axId val="209663104"/>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209509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上线课程数</c:v>
                </c:pt>
              </c:strCache>
            </c:strRef>
          </c:tx>
          <c:spPr>
            <a:solidFill>
              <a:schemeClr val="accent1"/>
            </a:solidFill>
            <a:ln>
              <a:noFill/>
            </a:ln>
            <a:effectLst/>
          </c:spPr>
          <c:invertIfNegative val="0"/>
          <c:dLbls>
            <c:delete val="1"/>
          </c:dLbls>
          <c:cat>
            <c:strRef>
              <c:f>Sheet1!$A$2:$A$11</c:f>
              <c:strCache>
                <c:ptCount val="10"/>
                <c:pt idx="0">
                  <c:v>法学与商务学院</c:v>
                </c:pt>
                <c:pt idx="1">
                  <c:v>经济与管理学院</c:v>
                </c:pt>
                <c:pt idx="2">
                  <c:v>基础医学院</c:v>
                </c:pt>
                <c:pt idx="3">
                  <c:v>数学与计算机科学学院</c:v>
                </c:pt>
                <c:pt idx="4">
                  <c:v>学前教育与特殊教育学院</c:v>
                </c:pt>
                <c:pt idx="5">
                  <c:v>师范学院</c:v>
                </c:pt>
                <c:pt idx="6">
                  <c:v>马克思主义学院</c:v>
                </c:pt>
                <c:pt idx="7">
                  <c:v>化学与生命科学学院</c:v>
                </c:pt>
                <c:pt idx="8">
                  <c:v>外国语学院</c:v>
                </c:pt>
                <c:pt idx="9">
                  <c:v>物理与智能制造工程学院</c:v>
                </c:pt>
              </c:strCache>
            </c:strRef>
          </c:cat>
          <c:val>
            <c:numRef>
              <c:f>Sheet1!$B$2:$B$11</c:f>
              <c:numCache>
                <c:formatCode>General</c:formatCode>
                <c:ptCount val="10"/>
                <c:pt idx="0">
                  <c:v>117</c:v>
                </c:pt>
                <c:pt idx="1">
                  <c:v>113</c:v>
                </c:pt>
                <c:pt idx="2">
                  <c:v>107</c:v>
                </c:pt>
                <c:pt idx="3">
                  <c:v>82</c:v>
                </c:pt>
                <c:pt idx="4">
                  <c:v>78</c:v>
                </c:pt>
                <c:pt idx="5">
                  <c:v>70</c:v>
                </c:pt>
                <c:pt idx="6">
                  <c:v>58</c:v>
                </c:pt>
                <c:pt idx="7">
                  <c:v>57</c:v>
                </c:pt>
                <c:pt idx="8">
                  <c:v>54</c:v>
                </c:pt>
                <c:pt idx="9">
                  <c:v>52</c:v>
                </c:pt>
              </c:numCache>
            </c:numRef>
          </c:val>
        </c:ser>
        <c:dLbls>
          <c:showLegendKey val="0"/>
          <c:showVal val="0"/>
          <c:showCatName val="0"/>
          <c:showSerName val="0"/>
          <c:showPercent val="0"/>
          <c:showBubbleSize val="0"/>
        </c:dLbls>
        <c:gapWidth val="219"/>
        <c:overlap val="-27"/>
        <c:axId val="171283584"/>
        <c:axId val="171285120"/>
      </c:barChart>
      <c:catAx>
        <c:axId val="1712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285120"/>
        <c:crosses val="autoZero"/>
        <c:auto val="1"/>
        <c:lblAlgn val="ctr"/>
        <c:lblOffset val="100"/>
        <c:noMultiLvlLbl val="0"/>
      </c:catAx>
      <c:valAx>
        <c:axId val="1712851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1283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上线学生（人）</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Sheet1!$A$2:$A$29</c:f>
              <c:numCache>
                <c:formatCode>0.00_ </c:formatCode>
                <c:ptCount val="28"/>
                <c:pt idx="0" c:formatCode="0.00_ ">
                  <c:v>3.09</c:v>
                </c:pt>
                <c:pt idx="1" c:formatCode="0.00_ ">
                  <c:v>3.1</c:v>
                </c:pt>
                <c:pt idx="2" c:formatCode="0.00_ ">
                  <c:v>3.11</c:v>
                </c:pt>
                <c:pt idx="3" c:formatCode="0.00_ ">
                  <c:v>3.12</c:v>
                </c:pt>
                <c:pt idx="4" c:formatCode="0.00_ ">
                  <c:v>3.13</c:v>
                </c:pt>
                <c:pt idx="5" c:formatCode="0.00_ ">
                  <c:v>3.16</c:v>
                </c:pt>
                <c:pt idx="6" c:formatCode="0.00_ ">
                  <c:v>3.17</c:v>
                </c:pt>
                <c:pt idx="7" c:formatCode="0.00_ ">
                  <c:v>3.18</c:v>
                </c:pt>
                <c:pt idx="8" c:formatCode="0.00_ ">
                  <c:v>3.19</c:v>
                </c:pt>
                <c:pt idx="9" c:formatCode="0.00_ ">
                  <c:v>3.2</c:v>
                </c:pt>
                <c:pt idx="10" c:formatCode="0.00_ ">
                  <c:v>3.24</c:v>
                </c:pt>
                <c:pt idx="11" c:formatCode="0.00_ ">
                  <c:v>3.25</c:v>
                </c:pt>
                <c:pt idx="12" c:formatCode="0.00_ ">
                  <c:v>3.26</c:v>
                </c:pt>
                <c:pt idx="13" c:formatCode="0.00_ ">
                  <c:v>3.27</c:v>
                </c:pt>
                <c:pt idx="14" c:formatCode="0.00_ ">
                  <c:v>3.3</c:v>
                </c:pt>
                <c:pt idx="15" c:formatCode="0.00_ ">
                  <c:v>3.31</c:v>
                </c:pt>
                <c:pt idx="16" c:formatCode="0.00_ ">
                  <c:v>4.01</c:v>
                </c:pt>
                <c:pt idx="17" c:formatCode="0.00_ ">
                  <c:v>4.02</c:v>
                </c:pt>
                <c:pt idx="18" c:formatCode="0.00_ ">
                  <c:v>4.03</c:v>
                </c:pt>
                <c:pt idx="19" c:formatCode="0.00_ ">
                  <c:v>4.07</c:v>
                </c:pt>
                <c:pt idx="20" c:formatCode="0.00_ ">
                  <c:v>4.08</c:v>
                </c:pt>
                <c:pt idx="21" c:formatCode="0.00_ ">
                  <c:v>4.09</c:v>
                </c:pt>
                <c:pt idx="22" c:formatCode="0.00_ ">
                  <c:v>4.1</c:v>
                </c:pt>
                <c:pt idx="23" c:formatCode="0.00_ ">
                  <c:v>4.13</c:v>
                </c:pt>
                <c:pt idx="24" c:formatCode="0.00_ ">
                  <c:v>4.14</c:v>
                </c:pt>
                <c:pt idx="25" c:formatCode="0.00_ ">
                  <c:v>4.15</c:v>
                </c:pt>
                <c:pt idx="26" c:formatCode="0.00_ ">
                  <c:v>4.16</c:v>
                </c:pt>
                <c:pt idx="27" c:formatCode="0.00_ ">
                  <c:v>4.17</c:v>
                </c:pt>
              </c:numCache>
            </c:numRef>
          </c:cat>
          <c:val>
            <c:numRef>
              <c:f>Sheet1!$B$2:$B$29</c:f>
              <c:numCache>
                <c:formatCode>General</c:formatCode>
                <c:ptCount val="28"/>
                <c:pt idx="0">
                  <c:v>9842</c:v>
                </c:pt>
                <c:pt idx="1">
                  <c:v>9951</c:v>
                </c:pt>
                <c:pt idx="2">
                  <c:v>9831</c:v>
                </c:pt>
                <c:pt idx="3">
                  <c:v>9876</c:v>
                </c:pt>
                <c:pt idx="4">
                  <c:v>9648</c:v>
                </c:pt>
                <c:pt idx="5">
                  <c:v>9895</c:v>
                </c:pt>
                <c:pt idx="6">
                  <c:v>10020</c:v>
                </c:pt>
                <c:pt idx="7">
                  <c:v>9941</c:v>
                </c:pt>
                <c:pt idx="8">
                  <c:v>9971</c:v>
                </c:pt>
                <c:pt idx="9">
                  <c:v>9708</c:v>
                </c:pt>
                <c:pt idx="10">
                  <c:v>9967</c:v>
                </c:pt>
                <c:pt idx="11">
                  <c:v>9895</c:v>
                </c:pt>
                <c:pt idx="12">
                  <c:v>9952</c:v>
                </c:pt>
                <c:pt idx="13">
                  <c:v>9571</c:v>
                </c:pt>
                <c:pt idx="14">
                  <c:v>9971</c:v>
                </c:pt>
                <c:pt idx="15">
                  <c:v>10075</c:v>
                </c:pt>
                <c:pt idx="16">
                  <c:v>9952</c:v>
                </c:pt>
                <c:pt idx="17">
                  <c:v>10011</c:v>
                </c:pt>
                <c:pt idx="18">
                  <c:v>9702</c:v>
                </c:pt>
                <c:pt idx="19">
                  <c:v>10375</c:v>
                </c:pt>
                <c:pt idx="20">
                  <c:v>9821</c:v>
                </c:pt>
                <c:pt idx="21">
                  <c:v>9950</c:v>
                </c:pt>
                <c:pt idx="22">
                  <c:v>9599</c:v>
                </c:pt>
                <c:pt idx="23">
                  <c:v>9810</c:v>
                </c:pt>
                <c:pt idx="24">
                  <c:v>10284</c:v>
                </c:pt>
                <c:pt idx="25">
                  <c:v>9775</c:v>
                </c:pt>
                <c:pt idx="26">
                  <c:v>9899</c:v>
                </c:pt>
                <c:pt idx="27">
                  <c:v>9635</c:v>
                </c:pt>
              </c:numCache>
            </c:numRef>
          </c:val>
          <c:smooth val="0"/>
        </c:ser>
        <c:dLbls>
          <c:showLegendKey val="0"/>
          <c:showVal val="1"/>
          <c:showCatName val="0"/>
          <c:showSerName val="0"/>
          <c:showPercent val="0"/>
          <c:showBubbleSize val="0"/>
        </c:dLbls>
        <c:marker val="0"/>
        <c:smooth val="0"/>
        <c:axId val="186919936"/>
        <c:axId val="186974976"/>
      </c:lineChart>
      <c:catAx>
        <c:axId val="186919936"/>
        <c:scaling>
          <c:orientation val="minMax"/>
        </c:scaling>
        <c:delete val="0"/>
        <c:axPos val="b"/>
        <c:numFmt formatCode="0.00_ "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974976"/>
        <c:crosses val="autoZero"/>
        <c:auto val="1"/>
        <c:lblAlgn val="ctr"/>
        <c:lblOffset val="100"/>
        <c:noMultiLvlLbl val="0"/>
      </c:catAx>
      <c:valAx>
        <c:axId val="1869749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91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课堂活动（次）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Sheet1!$B$2:$B$6</c:f>
              <c:numCache>
                <c:formatCode>General</c:formatCode>
                <c:ptCount val="5"/>
                <c:pt idx="0">
                  <c:v>25664</c:v>
                </c:pt>
                <c:pt idx="1">
                  <c:v>25526</c:v>
                </c:pt>
                <c:pt idx="2">
                  <c:v>17016</c:v>
                </c:pt>
                <c:pt idx="3">
                  <c:v>22386</c:v>
                </c:pt>
                <c:pt idx="4">
                  <c:v>19726</c:v>
                </c:pt>
              </c:numCache>
            </c:numRef>
          </c:val>
        </c:ser>
        <c:dLbls>
          <c:showLegendKey val="0"/>
          <c:showVal val="1"/>
          <c:showCatName val="0"/>
          <c:showSerName val="0"/>
          <c:showPercent val="0"/>
          <c:showBubbleSize val="0"/>
        </c:dLbls>
        <c:gapWidth val="100"/>
        <c:overlap val="-24"/>
        <c:axId val="186790656"/>
        <c:axId val="186792192"/>
      </c:barChart>
      <c:catAx>
        <c:axId val="186790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186792192"/>
        <c:crosses val="autoZero"/>
        <c:auto val="1"/>
        <c:lblAlgn val="ctr"/>
        <c:lblOffset val="100"/>
        <c:noMultiLvlLbl val="0"/>
      </c:catAx>
      <c:valAx>
        <c:axId val="186792192"/>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186790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师生讨论（个）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Sheet1!$B$2:$B$6</c:f>
              <c:numCache>
                <c:formatCode>General</c:formatCode>
                <c:ptCount val="5"/>
                <c:pt idx="0">
                  <c:v>9940</c:v>
                </c:pt>
                <c:pt idx="1">
                  <c:v>10248</c:v>
                </c:pt>
                <c:pt idx="2">
                  <c:v>5332</c:v>
                </c:pt>
                <c:pt idx="3">
                  <c:v>5483</c:v>
                </c:pt>
                <c:pt idx="4">
                  <c:v>5478</c:v>
                </c:pt>
              </c:numCache>
            </c:numRef>
          </c:val>
        </c:ser>
        <c:dLbls>
          <c:showLegendKey val="0"/>
          <c:showVal val="1"/>
          <c:showCatName val="0"/>
          <c:showSerName val="0"/>
          <c:showPercent val="0"/>
          <c:showBubbleSize val="0"/>
        </c:dLbls>
        <c:gapWidth val="219"/>
        <c:overlap val="-27"/>
        <c:axId val="198940928"/>
        <c:axId val="200859648"/>
      </c:barChart>
      <c:catAx>
        <c:axId val="1989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859648"/>
        <c:crosses val="autoZero"/>
        <c:auto val="1"/>
        <c:lblAlgn val="ctr"/>
        <c:lblOffset val="100"/>
        <c:noMultiLvlLbl val="0"/>
      </c:catAx>
      <c:valAx>
        <c:axId val="2008596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8940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发布作业（个）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Sheet1!$B$2:$B$6</c:f>
              <c:numCache>
                <c:formatCode>General</c:formatCode>
                <c:ptCount val="5"/>
                <c:pt idx="0">
                  <c:v>280</c:v>
                </c:pt>
                <c:pt idx="1">
                  <c:v>285</c:v>
                </c:pt>
                <c:pt idx="2">
                  <c:v>240</c:v>
                </c:pt>
                <c:pt idx="3">
                  <c:v>182</c:v>
                </c:pt>
                <c:pt idx="4">
                  <c:v>179</c:v>
                </c:pt>
              </c:numCache>
            </c:numRef>
          </c:val>
        </c:ser>
        <c:ser>
          <c:idx val="1"/>
          <c:order val="1"/>
          <c:tx>
            <c:strRef>
              <c:f>Sheet1!$C$1</c:f>
              <c:strCache>
                <c:ptCount val="1"/>
                <c:pt idx="0">
                  <c:v>批阅作业（个）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4.13</c:v>
                </c:pt>
                <c:pt idx="1">
                  <c:v>4.14</c:v>
                </c:pt>
                <c:pt idx="2">
                  <c:v>4.15</c:v>
                </c:pt>
                <c:pt idx="3">
                  <c:v>4.16</c:v>
                </c:pt>
                <c:pt idx="4">
                  <c:v>4.17</c:v>
                </c:pt>
              </c:numCache>
            </c:numRef>
          </c:cat>
          <c:val>
            <c:numRef>
              <c:f>Sheet1!$C$2:$C$6</c:f>
              <c:numCache>
                <c:formatCode>General</c:formatCode>
                <c:ptCount val="5"/>
                <c:pt idx="0">
                  <c:v>2925</c:v>
                </c:pt>
                <c:pt idx="1">
                  <c:v>3813</c:v>
                </c:pt>
                <c:pt idx="2">
                  <c:v>2558</c:v>
                </c:pt>
                <c:pt idx="3">
                  <c:v>3125</c:v>
                </c:pt>
                <c:pt idx="4">
                  <c:v>3111</c:v>
                </c:pt>
              </c:numCache>
            </c:numRef>
          </c:val>
        </c:ser>
        <c:dLbls>
          <c:showLegendKey val="0"/>
          <c:showVal val="1"/>
          <c:showCatName val="0"/>
          <c:showSerName val="0"/>
          <c:showPercent val="0"/>
          <c:showBubbleSize val="0"/>
        </c:dLbls>
        <c:gapWidth val="219"/>
        <c:overlap val="-27"/>
        <c:axId val="198091904"/>
        <c:axId val="198093440"/>
      </c:barChart>
      <c:catAx>
        <c:axId val="19809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8093440"/>
        <c:crosses val="autoZero"/>
        <c:auto val="1"/>
        <c:lblAlgn val="ctr"/>
        <c:lblOffset val="100"/>
        <c:noMultiLvlLbl val="0"/>
      </c:catAx>
      <c:valAx>
        <c:axId val="1980934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809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xmlns:a="http://schemas.openxmlformats.org/drawingml/2006/main">
      <cdr:nvPicPr>
        <cdr:cNvPr id="2" name="图片 1"/>
        <cdr:cNvPicPr/>
      </cdr:nvPicPr>
      <cdr:blipFill>
        <a:blip xmlns:r="http://schemas.openxmlformats.org/officeDocument/2006/relationships" r:embed="rId1"/>
        <a:stretch>
          <a:fillRect/>
        </a:stretch>
      </cdr:blipFill>
      <cdr:spPr>
        <a:xfrm>
          <a:off x="0" y="0"/>
          <a:ext cx="5342857" cy="4476190"/>
        </a:xfrm>
        <a:prstGeom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F022D2-F1DB-436B-BEF5-AF3254D1E09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12</Pages>
  <Words>428</Words>
  <Characters>2441</Characters>
  <Lines>20</Lines>
  <Paragraphs>5</Paragraphs>
  <TotalTime>27</TotalTime>
  <ScaleCrop>false</ScaleCrop>
  <LinksUpToDate>false</LinksUpToDate>
  <CharactersWithSpaces>2864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2020-04-18T12:29:00Z</dcterms:created>
  <dc:creator>111yuhongtao@163.com</dc:creator>
  <cp:lastModifiedBy>Administrator</cp:lastModifiedBy>
  <dcterms:modified xsi:type="dcterms:W3CDTF">2020-04-27T09:01:41Z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