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Cs/>
          <w:color w:val="000000"/>
          <w:sz w:val="44"/>
          <w:szCs w:val="44"/>
        </w:rPr>
      </w:pPr>
      <w:r>
        <w:rPr>
          <w:rFonts w:hint="eastAsia" w:ascii="微软雅黑" w:hAnsi="微软雅黑" w:eastAsia="微软雅黑" w:cs="微软雅黑"/>
          <w:bCs/>
          <w:color w:val="000000"/>
          <w:sz w:val="44"/>
          <w:szCs w:val="44"/>
        </w:rPr>
        <w:t>赤峰学院2019-2020学年第二学期本专科6月份在线教学质量报告</w:t>
      </w:r>
    </w:p>
    <w:p>
      <w:pPr>
        <w:spacing w:line="560" w:lineRule="exact"/>
        <w:ind w:firstLine="640" w:firstLineChars="200"/>
        <w:rPr>
          <w:rFonts w:hint="eastAsia" w:ascii="仿宋" w:hAnsi="仿宋" w:eastAsia="仿宋"/>
          <w:sz w:val="32"/>
          <w:szCs w:val="32"/>
        </w:rPr>
      </w:pPr>
    </w:p>
    <w:p>
      <w:pPr>
        <w:spacing w:line="560" w:lineRule="exact"/>
        <w:ind w:firstLine="640" w:firstLineChars="200"/>
        <w:rPr>
          <w:rFonts w:ascii="仿宋" w:hAnsi="仿宋" w:eastAsia="仿宋"/>
          <w:sz w:val="32"/>
          <w:szCs w:val="32"/>
        </w:rPr>
      </w:pPr>
      <w:r>
        <w:rPr>
          <w:rFonts w:hint="eastAsia" w:ascii="仿宋" w:hAnsi="仿宋" w:eastAsia="仿宋"/>
          <w:sz w:val="32"/>
          <w:szCs w:val="32"/>
        </w:rPr>
        <w:t>为坚决贯彻落实教育部、自治区教育厅关于新型冠状病毒感染的肺炎疫情防控工作要求，根据《赤峰学院 2019-2020 学年第二学期开学前后防控新冠肺炎疫情应急预案》（赤院院字〔2020〕31 号）及《赤峰学院本专科学生返校前教学工作方案》（赤院教字〔2020〕5 号）文件要求，我校2020 年春季本专科教学工作</w:t>
      </w:r>
      <w:r>
        <w:rPr>
          <w:rFonts w:ascii="仿宋" w:hAnsi="仿宋" w:eastAsia="仿宋"/>
          <w:sz w:val="32"/>
          <w:szCs w:val="32"/>
        </w:rPr>
        <w:t>自</w:t>
      </w:r>
      <w:r>
        <w:rPr>
          <w:rFonts w:hint="eastAsia" w:ascii="仿宋" w:hAnsi="仿宋" w:eastAsia="仿宋"/>
          <w:sz w:val="32"/>
          <w:szCs w:val="32"/>
        </w:rPr>
        <w:t>3月9日起开展</w:t>
      </w:r>
      <w:r>
        <w:rPr>
          <w:rFonts w:ascii="仿宋" w:hAnsi="仿宋" w:eastAsia="仿宋"/>
          <w:sz w:val="32"/>
          <w:szCs w:val="32"/>
        </w:rPr>
        <w:t>线上教学</w:t>
      </w:r>
      <w:r>
        <w:rPr>
          <w:rFonts w:hint="eastAsia" w:ascii="仿宋" w:hAnsi="仿宋" w:eastAsia="仿宋"/>
          <w:sz w:val="32"/>
          <w:szCs w:val="32"/>
        </w:rPr>
        <w:t>，</w:t>
      </w:r>
      <w:r>
        <w:rPr>
          <w:rFonts w:ascii="仿宋" w:hAnsi="仿宋" w:eastAsia="仿宋"/>
          <w:sz w:val="32"/>
          <w:szCs w:val="32"/>
        </w:rPr>
        <w:t>现将</w:t>
      </w:r>
      <w:r>
        <w:rPr>
          <w:rFonts w:hint="eastAsia" w:ascii="仿宋" w:hAnsi="仿宋" w:eastAsia="仿宋"/>
          <w:sz w:val="32"/>
          <w:szCs w:val="32"/>
        </w:rPr>
        <w:t>6月份</w:t>
      </w:r>
      <w:r>
        <w:rPr>
          <w:rFonts w:hint="eastAsia" w:ascii="仿宋" w:hAnsi="仿宋" w:eastAsia="仿宋"/>
          <w:color w:val="000000" w:themeColor="text1"/>
          <w:sz w:val="32"/>
          <w:szCs w:val="32"/>
        </w:rPr>
        <w:t>（</w:t>
      </w:r>
      <w:r>
        <w:rPr>
          <w:rFonts w:hint="eastAsia" w:ascii="仿宋" w:hAnsi="仿宋" w:eastAsia="仿宋" w:cstheme="minorEastAsia"/>
          <w:bCs/>
          <w:color w:val="000000" w:themeColor="text1"/>
          <w:sz w:val="32"/>
          <w:szCs w:val="32"/>
        </w:rPr>
        <w:t>6月1日至6月30日</w:t>
      </w:r>
      <w:r>
        <w:rPr>
          <w:rFonts w:hint="eastAsia" w:ascii="仿宋" w:hAnsi="仿宋" w:eastAsia="仿宋"/>
          <w:color w:val="000000" w:themeColor="text1"/>
          <w:sz w:val="32"/>
          <w:szCs w:val="32"/>
        </w:rPr>
        <w:t>）</w:t>
      </w:r>
      <w:r>
        <w:rPr>
          <w:rFonts w:ascii="仿宋" w:hAnsi="仿宋" w:eastAsia="仿宋"/>
          <w:sz w:val="32"/>
          <w:szCs w:val="32"/>
        </w:rPr>
        <w:t>线上教学</w:t>
      </w:r>
      <w:r>
        <w:rPr>
          <w:rFonts w:hint="eastAsia" w:ascii="仿宋" w:hAnsi="仿宋" w:eastAsia="仿宋"/>
          <w:sz w:val="32"/>
          <w:szCs w:val="32"/>
        </w:rPr>
        <w:t>运行及质量</w:t>
      </w:r>
      <w:r>
        <w:rPr>
          <w:rFonts w:ascii="仿宋" w:hAnsi="仿宋" w:eastAsia="仿宋"/>
          <w:sz w:val="32"/>
          <w:szCs w:val="32"/>
        </w:rPr>
        <w:t>情况汇报如下：</w:t>
      </w:r>
    </w:p>
    <w:p>
      <w:pPr>
        <w:widowControl/>
        <w:ind w:firstLine="640" w:firstLineChars="200"/>
        <w:jc w:val="left"/>
        <w:outlineLvl w:val="0"/>
        <w:rPr>
          <w:rFonts w:ascii="楷体" w:hAnsi="楷体" w:eastAsia="楷体"/>
          <w:bCs/>
          <w:color w:val="000000" w:themeColor="text1"/>
          <w:sz w:val="32"/>
          <w:szCs w:val="32"/>
        </w:rPr>
      </w:pPr>
      <w:r>
        <w:rPr>
          <w:rFonts w:hint="eastAsia" w:ascii="楷体" w:hAnsi="楷体" w:eastAsia="楷体"/>
          <w:bCs/>
          <w:color w:val="000000" w:themeColor="text1"/>
          <w:sz w:val="32"/>
          <w:szCs w:val="32"/>
        </w:rPr>
        <w:t>一、全校整体数据</w:t>
      </w:r>
    </w:p>
    <w:p>
      <w:pPr>
        <w:ind w:firstLine="640" w:firstLineChars="200"/>
        <w:rPr>
          <w:rFonts w:ascii="仿宋" w:hAnsi="仿宋" w:eastAsia="仿宋"/>
          <w:sz w:val="32"/>
          <w:szCs w:val="32"/>
        </w:rPr>
      </w:pPr>
      <w:r>
        <w:rPr>
          <w:rFonts w:hint="eastAsia" w:ascii="仿宋" w:hAnsi="仿宋" w:eastAsia="仿宋"/>
          <w:sz w:val="32"/>
          <w:szCs w:val="32"/>
        </w:rPr>
        <w:t>6月份共有989位教师为10134名学生开设线上教学课程1021门，包含超星尔雅通识课程5门</w:t>
      </w:r>
      <w:r>
        <w:rPr>
          <w:rFonts w:hint="eastAsia" w:ascii="仿宋" w:hAnsi="仿宋" w:eastAsia="仿宋"/>
          <w:sz w:val="32"/>
          <w:szCs w:val="32"/>
          <w:lang w:val="en-US" w:eastAsia="zh-CN"/>
        </w:rPr>
        <w:t>,</w:t>
      </w:r>
      <w:r>
        <w:rPr>
          <w:rFonts w:hint="eastAsia" w:ascii="仿宋" w:hAnsi="仿宋" w:eastAsia="仿宋"/>
          <w:sz w:val="32"/>
          <w:szCs w:val="32"/>
        </w:rPr>
        <w:t>开课门次数7344次，学生在线学习达723218人次。</w:t>
      </w:r>
    </w:p>
    <w:p>
      <w:pPr>
        <w:jc w:val="center"/>
        <w:rPr>
          <w:rFonts w:ascii="宋体" w:hAnsi="宋体"/>
          <w:color w:val="000000" w:themeColor="text1"/>
          <w:sz w:val="28"/>
          <w:szCs w:val="28"/>
        </w:rPr>
      </w:pPr>
      <w:r>
        <w:rPr>
          <w:lang w:bidi="mn-Mong-CN"/>
        </w:rPr>
        <w:drawing>
          <wp:inline distT="0" distB="0" distL="0" distR="0">
            <wp:extent cx="3626485" cy="24701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stretch>
                      <a:fillRect/>
                    </a:stretch>
                  </pic:blipFill>
                  <pic:spPr>
                    <a:xfrm>
                      <a:off x="0" y="0"/>
                      <a:ext cx="3626485" cy="2470341"/>
                    </a:xfrm>
                    <a:prstGeom prst="rect">
                      <a:avLst/>
                    </a:prstGeom>
                  </pic:spPr>
                </pic:pic>
              </a:graphicData>
            </a:graphic>
          </wp:inline>
        </w:drawing>
      </w:r>
    </w:p>
    <w:p>
      <w:pPr>
        <w:ind w:firstLine="210" w:firstLineChars="100"/>
        <w:jc w:val="center"/>
        <w:rPr>
          <w:rFonts w:ascii="宋体" w:hAnsi="宋体"/>
          <w:color w:val="000000" w:themeColor="text1"/>
          <w:szCs w:val="21"/>
        </w:rPr>
      </w:pPr>
      <w:r>
        <w:rPr>
          <w:rFonts w:hint="eastAsia" w:ascii="宋体" w:hAnsi="宋体"/>
          <w:color w:val="000000" w:themeColor="text1"/>
          <w:szCs w:val="21"/>
        </w:rPr>
        <w:t>图1各院系教师人数和建课数（top10）</w:t>
      </w:r>
    </w:p>
    <w:p>
      <w:pPr>
        <w:ind w:firstLine="480" w:firstLineChars="150"/>
        <w:outlineLvl w:val="1"/>
        <w:rPr>
          <w:rFonts w:ascii="仿宋" w:hAnsi="仿宋" w:eastAsia="仿宋"/>
          <w:sz w:val="32"/>
          <w:szCs w:val="32"/>
        </w:rPr>
      </w:pPr>
      <w:r>
        <w:rPr>
          <w:rFonts w:hint="eastAsia" w:ascii="仿宋" w:hAnsi="仿宋" w:eastAsia="仿宋"/>
          <w:sz w:val="32"/>
          <w:szCs w:val="32"/>
          <w:lang w:eastAsia="zh-CN"/>
        </w:rPr>
        <w:t>（一）</w:t>
      </w:r>
      <w:r>
        <w:rPr>
          <w:rFonts w:hint="eastAsia" w:ascii="仿宋" w:hAnsi="仿宋" w:eastAsia="仿宋"/>
          <w:sz w:val="32"/>
          <w:szCs w:val="32"/>
        </w:rPr>
        <w:t>每日运行课程门数</w:t>
      </w:r>
    </w:p>
    <w:p>
      <w:pPr>
        <w:ind w:firstLine="480" w:firstLineChars="150"/>
        <w:rPr>
          <w:rFonts w:ascii="仿宋" w:hAnsi="仿宋" w:eastAsia="仿宋"/>
          <w:sz w:val="32"/>
          <w:szCs w:val="32"/>
        </w:rPr>
      </w:pPr>
      <w:r>
        <w:rPr>
          <w:rFonts w:hint="eastAsia" w:ascii="仿宋" w:hAnsi="仿宋" w:eastAsia="仿宋"/>
          <w:sz w:val="32"/>
          <w:szCs w:val="32"/>
        </w:rPr>
        <w:t>每日运行课程门数在860门左右（见图2），其中自建课占59.41%，引用超星资源建课的占40.59%，详见图3。</w:t>
      </w:r>
    </w:p>
    <w:p>
      <w:pPr>
        <w:rPr>
          <w:rFonts w:ascii="宋体" w:hAnsi="宋体"/>
          <w:color w:val="000000" w:themeColor="text1"/>
          <w:sz w:val="28"/>
          <w:szCs w:val="28"/>
        </w:rPr>
      </w:pPr>
      <w:r>
        <w:rPr>
          <w:rFonts w:hint="eastAsia" w:ascii="宋体" w:hAnsi="宋体"/>
          <w:color w:val="000000" w:themeColor="text1"/>
          <w:sz w:val="28"/>
          <w:szCs w:val="28"/>
          <w:lang w:bidi="mn-Mong-CN"/>
        </w:rPr>
        <w:drawing>
          <wp:inline distT="0" distB="0" distL="0" distR="0">
            <wp:extent cx="5274310" cy="3076575"/>
            <wp:effectExtent l="0" t="0" r="2540" b="952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jc w:val="center"/>
        <w:rPr>
          <w:rFonts w:ascii="宋体" w:hAnsi="宋体"/>
          <w:color w:val="000000" w:themeColor="text1"/>
          <w:szCs w:val="21"/>
        </w:rPr>
      </w:pPr>
      <w:r>
        <w:rPr>
          <w:rFonts w:hint="eastAsia" w:ascii="宋体" w:hAnsi="宋体"/>
          <w:color w:val="000000" w:themeColor="text1"/>
          <w:szCs w:val="21"/>
        </w:rPr>
        <w:t>图2每日课程运行门数</w:t>
      </w:r>
    </w:p>
    <w:p>
      <w:pPr>
        <w:jc w:val="center"/>
        <w:rPr>
          <w:rFonts w:ascii="宋体" w:hAnsi="宋体"/>
          <w:color w:val="000000" w:themeColor="text1"/>
          <w:szCs w:val="21"/>
        </w:rPr>
      </w:pPr>
    </w:p>
    <w:p>
      <w:pPr>
        <w:jc w:val="center"/>
        <w:rPr>
          <w:rFonts w:ascii="宋体" w:hAnsi="宋体"/>
          <w:color w:val="000000" w:themeColor="text1"/>
          <w:szCs w:val="21"/>
        </w:rPr>
      </w:pPr>
      <w:r>
        <w:rPr>
          <w:lang w:bidi="mn-Mong-CN"/>
        </w:rPr>
        <w:drawing>
          <wp:inline distT="0" distB="0" distL="0" distR="0">
            <wp:extent cx="5704205" cy="2948940"/>
            <wp:effectExtent l="0" t="0" r="0" b="381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7" cstate="print"/>
                    <a:stretch>
                      <a:fillRect/>
                    </a:stretch>
                  </pic:blipFill>
                  <pic:spPr>
                    <a:xfrm>
                      <a:off x="0" y="0"/>
                      <a:ext cx="5713173" cy="2953576"/>
                    </a:xfrm>
                    <a:prstGeom prst="rect">
                      <a:avLst/>
                    </a:prstGeom>
                  </pic:spPr>
                </pic:pic>
              </a:graphicData>
            </a:graphic>
          </wp:inline>
        </w:drawing>
      </w:r>
    </w:p>
    <w:p>
      <w:pPr>
        <w:jc w:val="center"/>
        <w:rPr>
          <w:rFonts w:ascii="宋体" w:hAnsi="宋体"/>
          <w:color w:val="000000" w:themeColor="text1"/>
          <w:szCs w:val="21"/>
        </w:rPr>
      </w:pPr>
      <w:r>
        <w:rPr>
          <w:rFonts w:hint="eastAsia" w:ascii="宋体" w:hAnsi="宋体"/>
          <w:color w:val="000000" w:themeColor="text1"/>
          <w:szCs w:val="21"/>
        </w:rPr>
        <w:t>图3</w:t>
      </w:r>
      <w:r>
        <w:rPr>
          <w:rFonts w:ascii="宋体" w:hAnsi="宋体"/>
          <w:color w:val="000000" w:themeColor="text1"/>
          <w:szCs w:val="21"/>
        </w:rPr>
        <w:t xml:space="preserve"> </w:t>
      </w:r>
      <w:r>
        <w:rPr>
          <w:rFonts w:hint="eastAsia" w:ascii="宋体" w:hAnsi="宋体"/>
          <w:color w:val="000000" w:themeColor="text1"/>
          <w:szCs w:val="21"/>
        </w:rPr>
        <w:t>运行课程类型统计</w:t>
      </w:r>
    </w:p>
    <w:p>
      <w:pPr>
        <w:ind w:firstLine="480" w:firstLineChars="150"/>
        <w:outlineLvl w:val="1"/>
        <w:rPr>
          <w:rFonts w:ascii="仿宋" w:hAnsi="仿宋" w:eastAsia="仿宋"/>
          <w:sz w:val="32"/>
          <w:szCs w:val="32"/>
        </w:rPr>
      </w:pPr>
      <w:r>
        <w:rPr>
          <w:rFonts w:hint="eastAsia" w:ascii="仿宋" w:hAnsi="仿宋" w:eastAsia="仿宋"/>
          <w:sz w:val="32"/>
          <w:szCs w:val="32"/>
          <w:lang w:eastAsia="zh-CN"/>
        </w:rPr>
        <w:t>（二）</w:t>
      </w:r>
      <w:r>
        <w:rPr>
          <w:rFonts w:hint="eastAsia" w:ascii="仿宋" w:hAnsi="仿宋" w:eastAsia="仿宋"/>
          <w:sz w:val="32"/>
          <w:szCs w:val="32"/>
        </w:rPr>
        <w:t>每日教师及学生上线人数</w:t>
      </w:r>
    </w:p>
    <w:p>
      <w:pPr>
        <w:ind w:firstLine="480" w:firstLineChars="150"/>
        <w:rPr>
          <w:rFonts w:ascii="仿宋" w:hAnsi="仿宋" w:eastAsia="仿宋"/>
          <w:sz w:val="32"/>
          <w:szCs w:val="32"/>
        </w:rPr>
      </w:pPr>
      <w:r>
        <w:rPr>
          <w:rFonts w:hint="eastAsia" w:ascii="仿宋" w:hAnsi="仿宋" w:eastAsia="仿宋"/>
          <w:sz w:val="32"/>
          <w:szCs w:val="32"/>
        </w:rPr>
        <w:t>教师日均约上线630名，学生日均约上线9000人，见图4。</w:t>
      </w:r>
    </w:p>
    <w:p>
      <w:r>
        <w:rPr>
          <w:lang w:bidi="mn-Mong-CN"/>
        </w:rPr>
        <w:drawing>
          <wp:inline distT="0" distB="0" distL="0" distR="0">
            <wp:extent cx="5274310" cy="3076575"/>
            <wp:effectExtent l="0" t="0" r="2540" b="9525"/>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jc w:val="center"/>
      </w:pPr>
      <w:r>
        <w:rPr>
          <w:rFonts w:hint="eastAsia"/>
        </w:rPr>
        <w:t>图4</w:t>
      </w:r>
      <w:r>
        <w:t xml:space="preserve"> </w:t>
      </w:r>
      <w:r>
        <w:rPr>
          <w:rFonts w:hint="eastAsia"/>
        </w:rPr>
        <w:t>每日上线教师及学生人数</w:t>
      </w:r>
    </w:p>
    <w:p>
      <w:pPr>
        <w:ind w:firstLine="480" w:firstLineChars="150"/>
        <w:outlineLvl w:val="1"/>
        <w:rPr>
          <w:rFonts w:ascii="仿宋" w:hAnsi="仿宋" w:eastAsia="仿宋"/>
          <w:sz w:val="32"/>
          <w:szCs w:val="32"/>
        </w:rPr>
      </w:pPr>
      <w:r>
        <w:rPr>
          <w:rFonts w:hint="eastAsia" w:ascii="仿宋" w:hAnsi="仿宋" w:eastAsia="仿宋"/>
          <w:sz w:val="32"/>
          <w:szCs w:val="32"/>
          <w:lang w:eastAsia="zh-CN"/>
        </w:rPr>
        <w:t>（三）课程</w:t>
      </w:r>
      <w:r>
        <w:rPr>
          <w:rFonts w:hint="eastAsia" w:ascii="仿宋" w:hAnsi="仿宋" w:eastAsia="仿宋"/>
          <w:sz w:val="32"/>
          <w:szCs w:val="32"/>
        </w:rPr>
        <w:t>资源建设情况</w:t>
      </w:r>
    </w:p>
    <w:p>
      <w:pPr>
        <w:ind w:firstLine="480" w:firstLineChars="150"/>
        <w:rPr>
          <w:rFonts w:ascii="仿宋" w:hAnsi="仿宋" w:eastAsia="仿宋"/>
          <w:sz w:val="32"/>
          <w:szCs w:val="32"/>
        </w:rPr>
      </w:pPr>
      <w:r>
        <w:rPr>
          <w:rFonts w:hint="eastAsia" w:ascii="仿宋" w:hAnsi="仿宋" w:eastAsia="仿宋"/>
          <w:sz w:val="32"/>
          <w:szCs w:val="32"/>
        </w:rPr>
        <w:t xml:space="preserve"> </w:t>
      </w:r>
      <w:r>
        <w:rPr>
          <w:rFonts w:ascii="仿宋" w:hAnsi="仿宋" w:eastAsia="仿宋"/>
          <w:sz w:val="32"/>
          <w:szCs w:val="32"/>
        </w:rPr>
        <w:t xml:space="preserve"> </w:t>
      </w:r>
      <w:r>
        <w:rPr>
          <w:rFonts w:hint="eastAsia" w:ascii="仿宋" w:hAnsi="仿宋" w:eastAsia="仿宋"/>
          <w:sz w:val="32"/>
          <w:szCs w:val="32"/>
          <w:lang w:eastAsia="zh-CN"/>
        </w:rPr>
        <w:t>截止目前，</w:t>
      </w:r>
      <w:r>
        <w:rPr>
          <w:rFonts w:hint="eastAsia" w:ascii="仿宋" w:hAnsi="仿宋" w:eastAsia="仿宋"/>
          <w:sz w:val="32"/>
          <w:szCs w:val="32"/>
        </w:rPr>
        <w:t>全校师生共上传资源1911198，其中图片1707675，视频60922个，文本87364个，音频55237个。</w:t>
      </w:r>
    </w:p>
    <w:p>
      <w:pPr>
        <w:ind w:left="840" w:hanging="840" w:hangingChars="400"/>
        <w:jc w:val="center"/>
      </w:pPr>
      <w:r>
        <w:rPr>
          <w:lang w:bidi="mn-Mong-CN"/>
        </w:rPr>
        <w:drawing>
          <wp:inline distT="0" distB="0" distL="0" distR="0">
            <wp:extent cx="3007995" cy="3081020"/>
            <wp:effectExtent l="1905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cstate="print"/>
                    <a:stretch>
                      <a:fillRect/>
                    </a:stretch>
                  </pic:blipFill>
                  <pic:spPr>
                    <a:xfrm>
                      <a:off x="0" y="0"/>
                      <a:ext cx="3032143" cy="3106249"/>
                    </a:xfrm>
                    <a:prstGeom prst="rect">
                      <a:avLst/>
                    </a:prstGeom>
                  </pic:spPr>
                </pic:pic>
              </a:graphicData>
            </a:graphic>
          </wp:inline>
        </w:drawing>
      </w:r>
    </w:p>
    <w:p>
      <w:pPr>
        <w:ind w:left="840" w:hanging="840" w:hangingChars="400"/>
        <w:jc w:val="center"/>
      </w:pPr>
      <w:r>
        <w:rPr>
          <w:rFonts w:hint="eastAsia"/>
        </w:rPr>
        <w:t>图5全校资源建设情况</w:t>
      </w:r>
    </w:p>
    <w:p>
      <w:pPr>
        <w:ind w:left="840" w:hanging="840" w:hangingChars="400"/>
      </w:pPr>
      <w:r>
        <w:rPr>
          <w:lang w:bidi="mn-Mong-CN"/>
        </w:rPr>
        <w:drawing>
          <wp:inline distT="0" distB="0" distL="0" distR="0">
            <wp:extent cx="2812415" cy="2240280"/>
            <wp:effectExtent l="0" t="0" r="6985"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 cstate="print"/>
                    <a:stretch>
                      <a:fillRect/>
                    </a:stretch>
                  </pic:blipFill>
                  <pic:spPr>
                    <a:xfrm>
                      <a:off x="0" y="0"/>
                      <a:ext cx="2832595" cy="2256254"/>
                    </a:xfrm>
                    <a:prstGeom prst="rect">
                      <a:avLst/>
                    </a:prstGeom>
                  </pic:spPr>
                </pic:pic>
              </a:graphicData>
            </a:graphic>
          </wp:inline>
        </w:drawing>
      </w:r>
      <w:r>
        <w:t xml:space="preserve"> </w:t>
      </w:r>
      <w:r>
        <w:rPr>
          <w:lang w:bidi="mn-Mong-CN"/>
        </w:rPr>
        <w:drawing>
          <wp:inline distT="0" distB="0" distL="0" distR="0">
            <wp:extent cx="2353945" cy="2207260"/>
            <wp:effectExtent l="0" t="0" r="8255" b="254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1" cstate="print"/>
                    <a:stretch>
                      <a:fillRect/>
                    </a:stretch>
                  </pic:blipFill>
                  <pic:spPr>
                    <a:xfrm>
                      <a:off x="0" y="0"/>
                      <a:ext cx="2371921" cy="2223781"/>
                    </a:xfrm>
                    <a:prstGeom prst="rect">
                      <a:avLst/>
                    </a:prstGeom>
                  </pic:spPr>
                </pic:pic>
              </a:graphicData>
            </a:graphic>
          </wp:inline>
        </w:drawing>
      </w:r>
      <w:r>
        <w:t xml:space="preserve"> </w:t>
      </w:r>
    </w:p>
    <w:p>
      <w:pPr>
        <w:ind w:left="840" w:hanging="840" w:hangingChars="400"/>
      </w:pPr>
      <w:r>
        <w:t xml:space="preserve">      </w:t>
      </w:r>
      <w:r>
        <w:rPr>
          <w:rFonts w:hint="eastAsia"/>
        </w:rPr>
        <w:t xml:space="preserve">图6各院系建课数及资源（top10） </w:t>
      </w:r>
      <w:r>
        <w:t xml:space="preserve">                 </w:t>
      </w:r>
      <w:r>
        <w:rPr>
          <w:rFonts w:hint="eastAsia"/>
        </w:rPr>
        <w:t>图7</w:t>
      </w:r>
      <w:r>
        <w:t xml:space="preserve"> </w:t>
      </w:r>
      <w:r>
        <w:rPr>
          <w:rFonts w:hint="eastAsia"/>
        </w:rPr>
        <w:t>资源类型占比</w:t>
      </w:r>
    </w:p>
    <w:p>
      <w:pPr>
        <w:ind w:left="840" w:hanging="840" w:hangingChars="400"/>
      </w:pPr>
    </w:p>
    <w:p>
      <w:pPr>
        <w:ind w:firstLine="640" w:firstLineChars="200"/>
        <w:outlineLvl w:val="0"/>
        <w:rPr>
          <w:rFonts w:ascii="楷体" w:hAnsi="楷体" w:eastAsia="楷体"/>
          <w:bCs/>
          <w:color w:val="000000" w:themeColor="text1"/>
          <w:sz w:val="32"/>
          <w:szCs w:val="32"/>
        </w:rPr>
      </w:pPr>
      <w:r>
        <w:rPr>
          <w:rFonts w:hint="eastAsia" w:ascii="楷体" w:hAnsi="楷体" w:eastAsia="楷体"/>
          <w:bCs/>
          <w:color w:val="000000" w:themeColor="text1"/>
          <w:sz w:val="32"/>
          <w:szCs w:val="32"/>
        </w:rPr>
        <w:t>二、在线教学平台（超星“一平三端”智慧教学系统）应用数据分析</w:t>
      </w:r>
    </w:p>
    <w:p>
      <w:pPr>
        <w:ind w:firstLine="640" w:firstLineChars="200"/>
        <w:outlineLvl w:val="1"/>
        <w:rPr>
          <w:rFonts w:ascii="仿宋" w:hAnsi="仿宋" w:eastAsia="仿宋"/>
          <w:sz w:val="32"/>
          <w:szCs w:val="32"/>
        </w:rPr>
      </w:pPr>
      <w:r>
        <w:rPr>
          <w:rFonts w:hint="eastAsia" w:ascii="仿宋" w:hAnsi="仿宋" w:eastAsia="仿宋"/>
          <w:sz w:val="32"/>
          <w:szCs w:val="32"/>
          <w:lang w:eastAsia="zh-CN"/>
        </w:rPr>
        <w:t>（一）</w:t>
      </w:r>
      <w:r>
        <w:rPr>
          <w:rFonts w:hint="eastAsia" w:ascii="仿宋" w:hAnsi="仿宋" w:eastAsia="仿宋"/>
          <w:sz w:val="32"/>
          <w:szCs w:val="32"/>
        </w:rPr>
        <w:t>平台访问量及教师学生活跃度</w:t>
      </w:r>
    </w:p>
    <w:p>
      <w:pPr>
        <w:ind w:firstLine="640" w:firstLineChars="200"/>
        <w:rPr>
          <w:rFonts w:ascii="仿宋" w:hAnsi="仿宋" w:eastAsia="仿宋"/>
          <w:sz w:val="32"/>
          <w:szCs w:val="32"/>
        </w:rPr>
      </w:pPr>
      <w:r>
        <w:rPr>
          <w:rFonts w:hint="eastAsia" w:ascii="仿宋" w:hAnsi="仿宋" w:eastAsia="仿宋"/>
          <w:sz w:val="32"/>
          <w:szCs w:val="32"/>
        </w:rPr>
        <w:t>泛雅网络教学综合平台日均访问量(</w:t>
      </w:r>
      <w:r>
        <w:rPr>
          <w:rFonts w:ascii="仿宋" w:hAnsi="仿宋" w:eastAsia="仿宋"/>
          <w:sz w:val="32"/>
          <w:szCs w:val="32"/>
        </w:rPr>
        <w:t>PV)</w:t>
      </w:r>
      <w:r>
        <w:rPr>
          <w:rFonts w:hint="eastAsia" w:ascii="仿宋" w:hAnsi="仿宋" w:eastAsia="仿宋"/>
          <w:sz w:val="32"/>
          <w:szCs w:val="32"/>
        </w:rPr>
        <w:t xml:space="preserve"> 760万以上（图8），教师访问每天近乎平稳，学生的平台访问主要集中在周一至周五。</w:t>
      </w:r>
    </w:p>
    <w:p>
      <w:pPr>
        <w:rPr>
          <w:rFonts w:ascii="宋体" w:hAnsi="宋体" w:cs="Times New Roman"/>
          <w:color w:val="000000" w:themeColor="text1"/>
          <w:sz w:val="28"/>
          <w:szCs w:val="28"/>
        </w:rPr>
      </w:pPr>
      <w:r>
        <w:rPr>
          <w:rFonts w:ascii="宋体" w:hAnsi="宋体" w:cs="Times New Roman"/>
          <w:color w:val="000000" w:themeColor="text1"/>
          <w:sz w:val="28"/>
          <w:szCs w:val="28"/>
          <w:lang w:bidi="mn-Mong-CN"/>
        </w:rPr>
        <w:drawing>
          <wp:inline distT="0" distB="0" distL="0" distR="0">
            <wp:extent cx="5375275" cy="2909570"/>
            <wp:effectExtent l="19050" t="0" r="15875" b="5080"/>
            <wp:docPr id="18"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ind w:firstLine="420" w:firstLineChars="200"/>
        <w:rPr>
          <w:rFonts w:ascii="宋体" w:hAnsi="宋体" w:cs="Times New Roman"/>
          <w:color w:val="000000" w:themeColor="text1"/>
          <w:szCs w:val="21"/>
        </w:rPr>
      </w:pPr>
    </w:p>
    <w:p>
      <w:pPr>
        <w:spacing w:line="360" w:lineRule="auto"/>
        <w:jc w:val="center"/>
        <w:rPr>
          <w:rFonts w:ascii="宋体" w:hAnsi="宋体" w:cs="Times New Roman"/>
          <w:color w:val="000000" w:themeColor="text1"/>
          <w:szCs w:val="21"/>
        </w:rPr>
      </w:pPr>
      <w:r>
        <w:rPr>
          <w:rFonts w:hint="eastAsia" w:ascii="宋体" w:hAnsi="宋体" w:cs="Times New Roman"/>
          <w:color w:val="000000" w:themeColor="text1"/>
          <w:szCs w:val="21"/>
        </w:rPr>
        <w:t>图8日访问量（pv）统计</w:t>
      </w:r>
    </w:p>
    <w:p>
      <w:pPr>
        <w:spacing w:line="360" w:lineRule="auto"/>
        <w:ind w:left="210" w:hanging="210" w:hangingChars="100"/>
        <w:rPr>
          <w:rFonts w:ascii="宋体" w:hAnsi="宋体" w:cs="Times New Roman"/>
          <w:color w:val="000000" w:themeColor="text1"/>
          <w:szCs w:val="21"/>
        </w:rPr>
      </w:pPr>
      <w:r>
        <w:rPr>
          <w:lang w:bidi="mn-Mong-CN"/>
        </w:rPr>
        <w:drawing>
          <wp:inline distT="0" distB="0" distL="0" distR="0">
            <wp:extent cx="2552700" cy="2261870"/>
            <wp:effectExtent l="0" t="0" r="0" b="508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13" cstate="print"/>
                    <a:stretch>
                      <a:fillRect/>
                    </a:stretch>
                  </pic:blipFill>
                  <pic:spPr>
                    <a:xfrm>
                      <a:off x="0" y="0"/>
                      <a:ext cx="2591012" cy="2295898"/>
                    </a:xfrm>
                    <a:prstGeom prst="rect">
                      <a:avLst/>
                    </a:prstGeom>
                  </pic:spPr>
                </pic:pic>
              </a:graphicData>
            </a:graphic>
          </wp:inline>
        </w:drawing>
      </w:r>
      <w:r>
        <w:t xml:space="preserve"> </w:t>
      </w:r>
      <w:r>
        <w:rPr>
          <w:lang w:bidi="mn-Mong-CN"/>
        </w:rPr>
        <w:drawing>
          <wp:inline distT="0" distB="0" distL="0" distR="0">
            <wp:extent cx="2590800" cy="2256790"/>
            <wp:effectExtent l="0" t="0" r="0"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4" cstate="print"/>
                    <a:stretch>
                      <a:fillRect/>
                    </a:stretch>
                  </pic:blipFill>
                  <pic:spPr>
                    <a:xfrm>
                      <a:off x="0" y="0"/>
                      <a:ext cx="2629252" cy="2290785"/>
                    </a:xfrm>
                    <a:prstGeom prst="rect">
                      <a:avLst/>
                    </a:prstGeom>
                  </pic:spPr>
                </pic:pic>
              </a:graphicData>
            </a:graphic>
          </wp:inline>
        </w:drawing>
      </w:r>
      <w:r>
        <w:t xml:space="preserve">    </w:t>
      </w:r>
    </w:p>
    <w:p>
      <w:pPr>
        <w:spacing w:line="360" w:lineRule="auto"/>
        <w:ind w:firstLine="1050" w:firstLineChars="500"/>
        <w:rPr>
          <w:rFonts w:ascii="宋体" w:hAnsi="宋体" w:cs="Times New Roman"/>
          <w:color w:val="000000" w:themeColor="text1"/>
          <w:szCs w:val="21"/>
        </w:rPr>
      </w:pPr>
      <w:r>
        <w:rPr>
          <w:rFonts w:hint="eastAsia" w:ascii="宋体" w:hAnsi="宋体" w:cs="Times New Roman"/>
          <w:color w:val="000000" w:themeColor="text1"/>
          <w:szCs w:val="21"/>
        </w:rPr>
        <w:t xml:space="preserve">图9院系教师活跃度 </w:t>
      </w:r>
      <w:r>
        <w:rPr>
          <w:rFonts w:ascii="宋体" w:hAnsi="宋体" w:cs="Times New Roman"/>
          <w:color w:val="000000" w:themeColor="text1"/>
          <w:szCs w:val="21"/>
        </w:rPr>
        <w:t xml:space="preserve">                     </w:t>
      </w:r>
      <w:r>
        <w:rPr>
          <w:rFonts w:hint="eastAsia" w:ascii="宋体" w:hAnsi="宋体" w:cs="Times New Roman"/>
          <w:color w:val="000000" w:themeColor="text1"/>
          <w:szCs w:val="21"/>
        </w:rPr>
        <w:t>图10院系学生活跃度</w:t>
      </w:r>
    </w:p>
    <w:p>
      <w:pPr>
        <w:tabs>
          <w:tab w:val="left" w:pos="284"/>
        </w:tabs>
        <w:spacing w:line="360" w:lineRule="auto"/>
        <w:ind w:firstLine="640" w:firstLineChars="200"/>
        <w:jc w:val="left"/>
        <w:outlineLvl w:val="1"/>
        <w:rPr>
          <w:rFonts w:ascii="仿宋" w:hAnsi="仿宋" w:eastAsia="仿宋"/>
          <w:sz w:val="32"/>
          <w:szCs w:val="32"/>
        </w:rPr>
      </w:pPr>
      <w:r>
        <w:rPr>
          <w:rFonts w:hint="eastAsia" w:ascii="仿宋" w:hAnsi="仿宋" w:eastAsia="仿宋"/>
          <w:sz w:val="32"/>
          <w:szCs w:val="32"/>
          <w:lang w:eastAsia="zh-CN"/>
        </w:rPr>
        <w:t>（二）</w:t>
      </w:r>
      <w:r>
        <w:rPr>
          <w:rFonts w:hint="eastAsia" w:ascii="仿宋" w:hAnsi="仿宋" w:eastAsia="仿宋"/>
          <w:sz w:val="32"/>
          <w:szCs w:val="32"/>
        </w:rPr>
        <w:t>教学数据</w:t>
      </w:r>
    </w:p>
    <w:p>
      <w:pPr>
        <w:spacing w:line="360" w:lineRule="auto"/>
        <w:ind w:firstLine="640" w:firstLineChars="200"/>
        <w:jc w:val="left"/>
        <w:outlineLvl w:val="2"/>
        <w:rPr>
          <w:rFonts w:ascii="仿宋" w:hAnsi="仿宋" w:eastAsia="仿宋"/>
          <w:sz w:val="32"/>
          <w:szCs w:val="32"/>
        </w:rPr>
      </w:pPr>
      <w:r>
        <w:rPr>
          <w:rFonts w:hint="eastAsia" w:ascii="仿宋" w:hAnsi="仿宋" w:eastAsia="仿宋"/>
          <w:sz w:val="32"/>
          <w:szCs w:val="32"/>
          <w:lang w:val="en-US" w:eastAsia="zh-CN"/>
        </w:rPr>
        <w:t>1.</w:t>
      </w:r>
      <w:r>
        <w:rPr>
          <w:rFonts w:hint="eastAsia" w:ascii="仿宋" w:hAnsi="仿宋" w:eastAsia="仿宋"/>
          <w:sz w:val="32"/>
          <w:szCs w:val="32"/>
        </w:rPr>
        <w:t>课堂活动发布及学生</w:t>
      </w:r>
      <w:r>
        <w:rPr>
          <w:rFonts w:hint="eastAsia" w:ascii="仿宋" w:hAnsi="仿宋" w:eastAsia="仿宋"/>
          <w:sz w:val="32"/>
          <w:szCs w:val="32"/>
          <w:lang w:eastAsia="zh-CN"/>
        </w:rPr>
        <w:t>参与</w:t>
      </w:r>
      <w:r>
        <w:rPr>
          <w:rFonts w:hint="eastAsia" w:ascii="仿宋" w:hAnsi="仿宋" w:eastAsia="仿宋"/>
          <w:sz w:val="32"/>
          <w:szCs w:val="32"/>
        </w:rPr>
        <w:t>人次</w:t>
      </w:r>
    </w:p>
    <w:p>
      <w:pPr>
        <w:spacing w:line="360" w:lineRule="auto"/>
        <w:ind w:firstLine="640" w:firstLineChars="200"/>
        <w:jc w:val="left"/>
        <w:outlineLvl w:val="9"/>
        <w:rPr>
          <w:rFonts w:ascii="仿宋" w:hAnsi="仿宋" w:eastAsia="仿宋"/>
          <w:sz w:val="32"/>
          <w:szCs w:val="32"/>
        </w:rPr>
      </w:pPr>
      <w:r>
        <w:rPr>
          <w:rFonts w:hint="eastAsia" w:ascii="仿宋" w:hAnsi="仿宋" w:eastAsia="仿宋"/>
          <w:sz w:val="32"/>
          <w:szCs w:val="32"/>
        </w:rPr>
        <w:t>6月份共发布9535个课堂活动，平均每日发布454个；课堂活动</w:t>
      </w:r>
      <w:r>
        <w:rPr>
          <w:rFonts w:hint="eastAsia" w:ascii="仿宋" w:hAnsi="仿宋" w:eastAsia="仿宋"/>
          <w:sz w:val="32"/>
          <w:szCs w:val="32"/>
          <w:lang w:eastAsia="zh-CN"/>
        </w:rPr>
        <w:t>参与</w:t>
      </w:r>
      <w:r>
        <w:rPr>
          <w:rFonts w:hint="eastAsia" w:ascii="仿宋" w:hAnsi="仿宋" w:eastAsia="仿宋"/>
          <w:sz w:val="32"/>
          <w:szCs w:val="32"/>
        </w:rPr>
        <w:t>总人次323086人次，每日课堂活动参与在15385人次左右，见图11；课堂活动发布最多的课堂活动为签到，占整体活动50%，详见图12。</w:t>
      </w:r>
    </w:p>
    <w:p>
      <w:pPr>
        <w:spacing w:line="360" w:lineRule="auto"/>
        <w:jc w:val="left"/>
        <w:outlineLvl w:val="9"/>
        <w:rPr>
          <w:rFonts w:ascii="Times New Roman" w:hAnsi="Times New Roman" w:cs="Times New Roman"/>
          <w:color w:val="000000" w:themeColor="text1"/>
          <w:kern w:val="0"/>
          <w:szCs w:val="21"/>
          <w:lang w:bidi="mn-Mong-CN"/>
        </w:rPr>
      </w:pPr>
      <w:r>
        <w:rPr>
          <w:rFonts w:ascii="Times New Roman" w:hAnsi="Times New Roman" w:cs="Times New Roman"/>
          <w:color w:val="000000" w:themeColor="text1"/>
          <w:kern w:val="0"/>
          <w:szCs w:val="21"/>
          <w:lang w:bidi="mn-Mong-CN"/>
        </w:rPr>
        <w:drawing>
          <wp:inline distT="0" distB="0" distL="0" distR="0">
            <wp:extent cx="5274310" cy="3076575"/>
            <wp:effectExtent l="0" t="0" r="2540" b="9525"/>
            <wp:docPr id="22"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spacing w:line="360" w:lineRule="auto"/>
        <w:jc w:val="center"/>
        <w:outlineLvl w:val="9"/>
        <w:rPr>
          <w:rFonts w:ascii="Times New Roman" w:hAnsi="Times New Roman" w:cs="Times New Roman"/>
          <w:color w:val="000000" w:themeColor="text1"/>
          <w:kern w:val="0"/>
          <w:szCs w:val="21"/>
          <w:lang w:bidi="mn-Mong-CN"/>
        </w:rPr>
      </w:pPr>
      <w:r>
        <w:rPr>
          <w:rFonts w:hint="eastAsia" w:ascii="Times New Roman" w:hAnsi="Times New Roman" w:cs="Times New Roman"/>
          <w:color w:val="000000" w:themeColor="text1"/>
          <w:kern w:val="0"/>
          <w:szCs w:val="21"/>
          <w:lang w:bidi="mn-Mong-CN"/>
        </w:rPr>
        <w:t>图11课堂活动发布及参与人次统计</w:t>
      </w:r>
    </w:p>
    <w:p>
      <w:pPr>
        <w:spacing w:line="360" w:lineRule="auto"/>
        <w:jc w:val="center"/>
        <w:outlineLvl w:val="9"/>
        <w:rPr>
          <w:rFonts w:ascii="Times New Roman" w:hAnsi="Times New Roman" w:cs="Times New Roman"/>
          <w:color w:val="000000" w:themeColor="text1"/>
          <w:kern w:val="0"/>
          <w:szCs w:val="21"/>
          <w:lang w:bidi="mn-Mong-CN"/>
        </w:rPr>
      </w:pPr>
      <w:r>
        <w:rPr>
          <w:lang w:bidi="mn-Mong-CN"/>
        </w:rPr>
        <w:drawing>
          <wp:inline distT="0" distB="0" distL="0" distR="0">
            <wp:extent cx="4602480" cy="4036060"/>
            <wp:effectExtent l="0" t="0" r="7620" b="254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16" cstate="print"/>
                    <a:stretch>
                      <a:fillRect/>
                    </a:stretch>
                  </pic:blipFill>
                  <pic:spPr>
                    <a:xfrm>
                      <a:off x="0" y="0"/>
                      <a:ext cx="4617793" cy="4049603"/>
                    </a:xfrm>
                    <a:prstGeom prst="rect">
                      <a:avLst/>
                    </a:prstGeom>
                  </pic:spPr>
                </pic:pic>
              </a:graphicData>
            </a:graphic>
          </wp:inline>
        </w:drawing>
      </w:r>
      <w:r>
        <w:t xml:space="preserve"> </w:t>
      </w:r>
    </w:p>
    <w:p>
      <w:pPr>
        <w:spacing w:line="360" w:lineRule="auto"/>
        <w:jc w:val="center"/>
        <w:outlineLvl w:val="9"/>
        <w:rPr>
          <w:rFonts w:ascii="Times New Roman" w:hAnsi="Times New Roman" w:cs="Times New Roman"/>
          <w:color w:val="000000" w:themeColor="text1"/>
          <w:kern w:val="0"/>
          <w:szCs w:val="21"/>
          <w:lang w:bidi="mn-Mong-CN"/>
        </w:rPr>
      </w:pPr>
      <w:r>
        <w:rPr>
          <w:rFonts w:hint="eastAsia" w:ascii="Times New Roman" w:hAnsi="Times New Roman" w:cs="Times New Roman"/>
          <w:color w:val="000000" w:themeColor="text1"/>
          <w:kern w:val="0"/>
          <w:szCs w:val="21"/>
          <w:lang w:bidi="mn-Mong-CN"/>
        </w:rPr>
        <w:t>图12课堂活动类型统计</w:t>
      </w:r>
    </w:p>
    <w:p>
      <w:pPr>
        <w:tabs>
          <w:tab w:val="left" w:pos="284"/>
        </w:tabs>
        <w:spacing w:line="360" w:lineRule="auto"/>
        <w:ind w:firstLine="640" w:firstLineChars="200"/>
        <w:jc w:val="left"/>
        <w:outlineLvl w:val="2"/>
        <w:rPr>
          <w:rFonts w:ascii="仿宋" w:hAnsi="仿宋" w:eastAsia="仿宋"/>
          <w:sz w:val="32"/>
          <w:szCs w:val="32"/>
        </w:rPr>
      </w:pPr>
      <w:bookmarkStart w:id="0" w:name="_Toc34732363"/>
      <w:r>
        <w:rPr>
          <w:rFonts w:hint="eastAsia" w:ascii="仿宋" w:hAnsi="仿宋" w:eastAsia="仿宋"/>
          <w:sz w:val="32"/>
          <w:szCs w:val="32"/>
          <w:lang w:val="en-US" w:eastAsia="zh-CN"/>
        </w:rPr>
        <w:t>2.</w:t>
      </w:r>
      <w:r>
        <w:rPr>
          <w:rFonts w:hint="eastAsia" w:ascii="仿宋" w:hAnsi="仿宋" w:eastAsia="仿宋"/>
          <w:sz w:val="32"/>
          <w:szCs w:val="32"/>
        </w:rPr>
        <w:t>师生</w:t>
      </w:r>
      <w:r>
        <w:rPr>
          <w:rFonts w:ascii="仿宋" w:hAnsi="仿宋" w:eastAsia="仿宋"/>
          <w:sz w:val="32"/>
          <w:szCs w:val="32"/>
        </w:rPr>
        <w:t>讨论情况</w:t>
      </w:r>
      <w:bookmarkEnd w:id="0"/>
    </w:p>
    <w:p>
      <w:pPr>
        <w:tabs>
          <w:tab w:val="left" w:pos="284"/>
        </w:tabs>
        <w:spacing w:line="360" w:lineRule="auto"/>
        <w:ind w:firstLine="640" w:firstLineChars="200"/>
        <w:jc w:val="left"/>
        <w:outlineLvl w:val="9"/>
        <w:rPr>
          <w:rFonts w:ascii="仿宋" w:hAnsi="仿宋" w:eastAsia="仿宋"/>
          <w:sz w:val="32"/>
          <w:szCs w:val="32"/>
        </w:rPr>
      </w:pPr>
      <w:r>
        <w:rPr>
          <w:rFonts w:hint="eastAsia" w:ascii="仿宋" w:hAnsi="仿宋" w:eastAsia="仿宋"/>
          <w:sz w:val="32"/>
          <w:szCs w:val="32"/>
        </w:rPr>
        <w:t>6月1日至6月30日师生讨论</w:t>
      </w:r>
      <w:r>
        <w:rPr>
          <w:rFonts w:ascii="仿宋" w:hAnsi="仿宋" w:eastAsia="仿宋"/>
          <w:sz w:val="32"/>
          <w:szCs w:val="32"/>
        </w:rPr>
        <w:t>日均</w:t>
      </w:r>
      <w:r>
        <w:rPr>
          <w:rFonts w:hint="eastAsia" w:ascii="仿宋" w:hAnsi="仿宋" w:eastAsia="仿宋"/>
          <w:sz w:val="32"/>
          <w:szCs w:val="32"/>
        </w:rPr>
        <w:t>5337次左右，每周的周一周二师生讨论数最高（图13）。</w:t>
      </w:r>
    </w:p>
    <w:p>
      <w:pPr>
        <w:spacing w:line="360" w:lineRule="auto"/>
        <w:jc w:val="left"/>
        <w:outlineLvl w:val="9"/>
        <w:rPr>
          <w:rFonts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lang w:bidi="mn-Mong-CN"/>
        </w:rPr>
        <w:drawing>
          <wp:inline distT="0" distB="0" distL="0" distR="0">
            <wp:extent cx="5017135" cy="2827655"/>
            <wp:effectExtent l="0" t="0" r="12065" b="10795"/>
            <wp:docPr id="30"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pacing w:afterLines="50" w:line="360" w:lineRule="auto"/>
        <w:ind w:firstLine="3150" w:firstLineChars="1500"/>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图13师生讨论数据统计</w:t>
      </w:r>
    </w:p>
    <w:p>
      <w:pPr>
        <w:tabs>
          <w:tab w:val="left" w:pos="284"/>
        </w:tabs>
        <w:spacing w:line="360" w:lineRule="auto"/>
        <w:ind w:firstLine="640" w:firstLineChars="200"/>
        <w:jc w:val="left"/>
        <w:outlineLvl w:val="2"/>
        <w:rPr>
          <w:rFonts w:ascii="仿宋" w:hAnsi="仿宋" w:eastAsia="仿宋"/>
          <w:sz w:val="32"/>
          <w:szCs w:val="32"/>
        </w:rPr>
      </w:pPr>
      <w:r>
        <w:rPr>
          <w:rFonts w:hint="eastAsia" w:ascii="仿宋" w:hAnsi="仿宋" w:eastAsia="仿宋"/>
          <w:sz w:val="32"/>
          <w:szCs w:val="32"/>
          <w:lang w:val="en-US" w:eastAsia="zh-CN"/>
        </w:rPr>
        <w:t>3.</w:t>
      </w:r>
      <w:r>
        <w:rPr>
          <w:rFonts w:hint="eastAsia" w:ascii="仿宋" w:hAnsi="仿宋" w:eastAsia="仿宋"/>
          <w:sz w:val="32"/>
          <w:szCs w:val="32"/>
        </w:rPr>
        <w:t>作业发布及批阅情况</w:t>
      </w:r>
    </w:p>
    <w:p>
      <w:pPr>
        <w:tabs>
          <w:tab w:val="left" w:pos="284"/>
        </w:tabs>
        <w:spacing w:line="360" w:lineRule="auto"/>
        <w:ind w:firstLine="640" w:firstLineChars="200"/>
        <w:jc w:val="left"/>
        <w:outlineLvl w:val="9"/>
        <w:rPr>
          <w:rFonts w:ascii="仿宋" w:hAnsi="仿宋" w:eastAsia="仿宋"/>
          <w:sz w:val="32"/>
          <w:szCs w:val="32"/>
        </w:rPr>
      </w:pPr>
      <w:r>
        <w:rPr>
          <w:rFonts w:hint="eastAsia" w:ascii="仿宋" w:hAnsi="仿宋" w:eastAsia="仿宋"/>
          <w:sz w:val="32"/>
          <w:szCs w:val="32"/>
        </w:rPr>
        <w:t>教师共发布2905次作业，平均每日138次，累计批阅42481份作业。</w:t>
      </w:r>
    </w:p>
    <w:p>
      <w:pPr>
        <w:spacing w:line="360" w:lineRule="auto"/>
        <w:jc w:val="center"/>
        <w:outlineLvl w:val="9"/>
        <w:rPr>
          <w:rFonts w:asciiTheme="minorEastAsia" w:hAnsiTheme="minorEastAsia" w:eastAsiaTheme="minorEastAsia" w:cstheme="minorEastAsia"/>
          <w:bCs/>
          <w:color w:val="000000" w:themeColor="text1"/>
          <w:sz w:val="28"/>
          <w:szCs w:val="28"/>
        </w:rPr>
      </w:pPr>
      <w:r>
        <w:rPr>
          <w:rFonts w:asciiTheme="minorEastAsia" w:hAnsiTheme="minorEastAsia" w:eastAsiaTheme="minorEastAsia" w:cstheme="minorEastAsia"/>
          <w:bCs/>
          <w:color w:val="000000" w:themeColor="text1"/>
          <w:sz w:val="28"/>
          <w:szCs w:val="28"/>
          <w:lang w:bidi="mn-Mong-CN"/>
        </w:rPr>
        <w:drawing>
          <wp:inline distT="0" distB="0" distL="0" distR="0">
            <wp:extent cx="4502785" cy="2600325"/>
            <wp:effectExtent l="19050" t="0" r="12065" b="0"/>
            <wp:docPr id="31"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pacing w:line="360" w:lineRule="auto"/>
        <w:ind w:firstLine="420" w:firstLineChars="200"/>
        <w:jc w:val="center"/>
        <w:outlineLvl w:val="9"/>
        <w:rPr>
          <w:rFonts w:asciiTheme="minorEastAsia" w:hAnsiTheme="minorEastAsia" w:eastAsiaTheme="minorEastAsia" w:cstheme="minorEastAsia"/>
          <w:bCs/>
          <w:color w:val="000000" w:themeColor="text1"/>
          <w:szCs w:val="21"/>
        </w:rPr>
      </w:pPr>
      <w:r>
        <w:rPr>
          <w:rFonts w:hint="eastAsia" w:asciiTheme="minorEastAsia" w:hAnsiTheme="minorEastAsia" w:eastAsiaTheme="minorEastAsia" w:cstheme="minorEastAsia"/>
          <w:bCs/>
          <w:color w:val="000000" w:themeColor="text1"/>
          <w:szCs w:val="21"/>
        </w:rPr>
        <w:t>图14</w:t>
      </w:r>
      <w:r>
        <w:rPr>
          <w:rFonts w:asciiTheme="minorEastAsia" w:hAnsiTheme="minorEastAsia" w:eastAsiaTheme="minorEastAsia" w:cstheme="minorEastAsia"/>
          <w:bCs/>
          <w:color w:val="000000" w:themeColor="text1"/>
          <w:szCs w:val="21"/>
        </w:rPr>
        <w:t xml:space="preserve"> </w:t>
      </w:r>
      <w:r>
        <w:rPr>
          <w:rFonts w:hint="eastAsia" w:asciiTheme="minorEastAsia" w:hAnsiTheme="minorEastAsia" w:eastAsiaTheme="minorEastAsia" w:cstheme="minorEastAsia"/>
          <w:bCs/>
          <w:color w:val="000000" w:themeColor="text1"/>
          <w:szCs w:val="21"/>
        </w:rPr>
        <w:t>作业发布及批阅情况统计</w:t>
      </w:r>
    </w:p>
    <w:p>
      <w:pPr>
        <w:tabs>
          <w:tab w:val="left" w:pos="284"/>
        </w:tabs>
        <w:spacing w:line="360" w:lineRule="auto"/>
        <w:ind w:firstLine="640" w:firstLineChars="200"/>
        <w:jc w:val="left"/>
        <w:outlineLvl w:val="2"/>
        <w:rPr>
          <w:rFonts w:ascii="仿宋" w:hAnsi="仿宋" w:eastAsia="仿宋"/>
          <w:sz w:val="32"/>
          <w:szCs w:val="32"/>
        </w:rPr>
      </w:pPr>
      <w:r>
        <w:rPr>
          <w:rFonts w:hint="eastAsia" w:ascii="仿宋" w:hAnsi="仿宋" w:eastAsia="仿宋"/>
          <w:sz w:val="32"/>
          <w:szCs w:val="32"/>
          <w:lang w:val="en-US" w:eastAsia="zh-CN"/>
        </w:rPr>
        <w:t>4.</w:t>
      </w:r>
      <w:r>
        <w:rPr>
          <w:rFonts w:hint="eastAsia" w:ascii="仿宋" w:hAnsi="仿宋" w:eastAsia="仿宋"/>
          <w:sz w:val="32"/>
          <w:szCs w:val="32"/>
        </w:rPr>
        <w:t>学生任务点及作业完成情况</w:t>
      </w:r>
    </w:p>
    <w:p>
      <w:pPr>
        <w:tabs>
          <w:tab w:val="left" w:pos="284"/>
        </w:tabs>
        <w:spacing w:line="360" w:lineRule="auto"/>
        <w:ind w:firstLine="640" w:firstLineChars="200"/>
        <w:jc w:val="left"/>
        <w:outlineLvl w:val="9"/>
        <w:rPr>
          <w:rFonts w:ascii="仿宋" w:hAnsi="仿宋" w:eastAsia="仿宋"/>
          <w:sz w:val="32"/>
          <w:szCs w:val="32"/>
        </w:rPr>
      </w:pPr>
      <w:bookmarkStart w:id="1" w:name="_GoBack"/>
      <w:bookmarkEnd w:id="1"/>
      <w:r>
        <w:rPr>
          <w:rFonts w:hint="eastAsia" w:ascii="仿宋" w:hAnsi="仿宋" w:eastAsia="仿宋"/>
          <w:sz w:val="32"/>
          <w:szCs w:val="32"/>
        </w:rPr>
        <w:t>学生们每天积极完成老师布置的任务，累计共完成任务点776271人次；累计完成作业47350人次，作业及格率在90%以上，考试及格分数以上占84%，详见图15，图16</w:t>
      </w:r>
      <w:r>
        <w:rPr>
          <w:rFonts w:ascii="仿宋" w:hAnsi="仿宋" w:eastAsia="仿宋"/>
          <w:sz w:val="32"/>
          <w:szCs w:val="32"/>
        </w:rPr>
        <w:t>,</w:t>
      </w:r>
      <w:r>
        <w:rPr>
          <w:rFonts w:hint="eastAsia" w:ascii="仿宋" w:hAnsi="仿宋" w:eastAsia="仿宋"/>
          <w:sz w:val="32"/>
          <w:szCs w:val="32"/>
        </w:rPr>
        <w:t>图1</w:t>
      </w:r>
      <w:r>
        <w:rPr>
          <w:rFonts w:ascii="仿宋" w:hAnsi="仿宋" w:eastAsia="仿宋"/>
          <w:sz w:val="32"/>
          <w:szCs w:val="32"/>
        </w:rPr>
        <w:t>7.</w:t>
      </w:r>
    </w:p>
    <w:p>
      <w:pPr>
        <w:spacing w:line="360" w:lineRule="auto"/>
        <w:jc w:val="center"/>
        <w:outlineLvl w:val="9"/>
        <w:rPr>
          <w:rFonts w:asciiTheme="minorEastAsia" w:hAnsiTheme="minorEastAsia" w:eastAsiaTheme="minorEastAsia" w:cstheme="minorEastAsia"/>
          <w:bCs/>
          <w:color w:val="000000" w:themeColor="text1"/>
          <w:sz w:val="28"/>
          <w:szCs w:val="28"/>
        </w:rPr>
      </w:pPr>
      <w:r>
        <w:rPr>
          <w:rFonts w:asciiTheme="minorEastAsia" w:hAnsiTheme="minorEastAsia" w:eastAsiaTheme="minorEastAsia" w:cstheme="minorEastAsia"/>
          <w:bCs/>
          <w:color w:val="000000" w:themeColor="text1"/>
          <w:sz w:val="28"/>
          <w:szCs w:val="28"/>
          <w:lang w:bidi="mn-Mong-CN"/>
        </w:rPr>
        <w:drawing>
          <wp:inline distT="0" distB="0" distL="0" distR="0">
            <wp:extent cx="4045585" cy="2114550"/>
            <wp:effectExtent l="19050" t="0" r="12065" b="0"/>
            <wp:docPr id="32"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pacing w:line="360" w:lineRule="auto"/>
        <w:ind w:firstLine="420" w:firstLineChars="200"/>
        <w:jc w:val="center"/>
        <w:outlineLvl w:val="9"/>
        <w:rPr>
          <w:rFonts w:asciiTheme="minorEastAsia" w:hAnsiTheme="minorEastAsia" w:eastAsiaTheme="minorEastAsia" w:cstheme="minorEastAsia"/>
          <w:bCs/>
          <w:color w:val="000000" w:themeColor="text1"/>
          <w:szCs w:val="21"/>
        </w:rPr>
      </w:pPr>
      <w:r>
        <w:rPr>
          <w:rFonts w:hint="eastAsia" w:asciiTheme="minorEastAsia" w:hAnsiTheme="minorEastAsia" w:eastAsiaTheme="minorEastAsia" w:cstheme="minorEastAsia"/>
          <w:bCs/>
          <w:color w:val="000000" w:themeColor="text1"/>
          <w:szCs w:val="21"/>
        </w:rPr>
        <w:t>图15</w:t>
      </w:r>
      <w:r>
        <w:rPr>
          <w:rFonts w:asciiTheme="minorEastAsia" w:hAnsiTheme="minorEastAsia" w:eastAsiaTheme="minorEastAsia" w:cstheme="minorEastAsia"/>
          <w:bCs/>
          <w:color w:val="000000" w:themeColor="text1"/>
          <w:szCs w:val="21"/>
        </w:rPr>
        <w:t xml:space="preserve"> </w:t>
      </w:r>
      <w:r>
        <w:rPr>
          <w:rFonts w:hint="eastAsia" w:asciiTheme="minorEastAsia" w:hAnsiTheme="minorEastAsia" w:eastAsiaTheme="minorEastAsia" w:cstheme="minorEastAsia"/>
          <w:bCs/>
          <w:color w:val="000000" w:themeColor="text1"/>
          <w:szCs w:val="21"/>
        </w:rPr>
        <w:t>学生任务完成情况统计</w:t>
      </w:r>
    </w:p>
    <w:p>
      <w:pPr>
        <w:spacing w:line="360" w:lineRule="auto"/>
        <w:ind w:left="1470" w:hanging="1470" w:hangingChars="700"/>
        <w:jc w:val="left"/>
        <w:outlineLvl w:val="9"/>
      </w:pPr>
      <w:r>
        <w:rPr>
          <w:lang w:bidi="mn-Mong-CN"/>
        </w:rPr>
        <w:drawing>
          <wp:inline distT="0" distB="0" distL="0" distR="0">
            <wp:extent cx="2430780" cy="2168525"/>
            <wp:effectExtent l="0" t="0" r="7620" b="317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20" cstate="print"/>
                    <a:stretch>
                      <a:fillRect/>
                    </a:stretch>
                  </pic:blipFill>
                  <pic:spPr>
                    <a:xfrm>
                      <a:off x="0" y="0"/>
                      <a:ext cx="2447462" cy="2183521"/>
                    </a:xfrm>
                    <a:prstGeom prst="rect">
                      <a:avLst/>
                    </a:prstGeom>
                  </pic:spPr>
                </pic:pic>
              </a:graphicData>
            </a:graphic>
          </wp:inline>
        </w:drawing>
      </w:r>
      <w:r>
        <w:rPr>
          <w:lang w:bidi="mn-Mong-CN"/>
        </w:rPr>
        <w:drawing>
          <wp:inline distT="0" distB="0" distL="0" distR="0">
            <wp:extent cx="2804160" cy="2174240"/>
            <wp:effectExtent l="0" t="0" r="0" b="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21" cstate="print"/>
                    <a:stretch>
                      <a:fillRect/>
                    </a:stretch>
                  </pic:blipFill>
                  <pic:spPr>
                    <a:xfrm>
                      <a:off x="0" y="0"/>
                      <a:ext cx="2865143" cy="2221568"/>
                    </a:xfrm>
                    <a:prstGeom prst="rect">
                      <a:avLst/>
                    </a:prstGeom>
                  </pic:spPr>
                </pic:pic>
              </a:graphicData>
            </a:graphic>
          </wp:inline>
        </w:drawing>
      </w:r>
      <w:r>
        <w:t xml:space="preserve"> </w:t>
      </w:r>
    </w:p>
    <w:p>
      <w:pPr>
        <w:spacing w:line="360" w:lineRule="auto"/>
        <w:ind w:left="1470" w:leftChars="300" w:hanging="840" w:hangingChars="400"/>
        <w:jc w:val="left"/>
        <w:outlineLvl w:val="9"/>
        <w:rPr>
          <w:rFonts w:asciiTheme="minorEastAsia" w:hAnsiTheme="minorEastAsia" w:eastAsiaTheme="minorEastAsia" w:cstheme="minorEastAsia"/>
          <w:bCs/>
          <w:color w:val="000000" w:themeColor="text1"/>
          <w:szCs w:val="21"/>
        </w:rPr>
      </w:pPr>
      <w:r>
        <w:rPr>
          <w:rFonts w:hint="eastAsia" w:asciiTheme="minorEastAsia" w:hAnsiTheme="minorEastAsia" w:eastAsiaTheme="minorEastAsia" w:cstheme="minorEastAsia"/>
          <w:bCs/>
          <w:color w:val="000000" w:themeColor="text1"/>
          <w:szCs w:val="21"/>
        </w:rPr>
        <w:t xml:space="preserve">图16学生作业平均分占比 </w:t>
      </w:r>
      <w:r>
        <w:rPr>
          <w:rFonts w:asciiTheme="minorEastAsia" w:hAnsiTheme="minorEastAsia" w:eastAsiaTheme="minorEastAsia" w:cstheme="minorEastAsia"/>
          <w:bCs/>
          <w:color w:val="000000" w:themeColor="text1"/>
          <w:szCs w:val="21"/>
        </w:rPr>
        <w:t xml:space="preserve">                 </w:t>
      </w:r>
      <w:r>
        <w:rPr>
          <w:rFonts w:hint="eastAsia" w:asciiTheme="minorEastAsia" w:hAnsiTheme="minorEastAsia" w:eastAsiaTheme="minorEastAsia" w:cstheme="minorEastAsia"/>
          <w:bCs/>
          <w:color w:val="000000" w:themeColor="text1"/>
          <w:szCs w:val="21"/>
        </w:rPr>
        <w:t xml:space="preserve">图17学生考试平均分占比 </w:t>
      </w:r>
      <w:r>
        <w:rPr>
          <w:rFonts w:asciiTheme="minorEastAsia" w:hAnsiTheme="minorEastAsia" w:eastAsiaTheme="minorEastAsia" w:cstheme="minorEastAsia"/>
          <w:bCs/>
          <w:color w:val="000000" w:themeColor="text1"/>
          <w:szCs w:val="21"/>
        </w:rPr>
        <w:t xml:space="preserve"> </w:t>
      </w:r>
    </w:p>
    <w:p>
      <w:pPr>
        <w:spacing w:line="360" w:lineRule="auto"/>
        <w:ind w:left="2238" w:leftChars="304" w:hanging="1600" w:hangingChars="500"/>
        <w:jc w:val="left"/>
        <w:outlineLvl w:val="0"/>
        <w:rPr>
          <w:rFonts w:asciiTheme="minorEastAsia" w:hAnsiTheme="minorEastAsia" w:eastAsiaTheme="minorEastAsia" w:cstheme="minorEastAsia"/>
          <w:bCs/>
          <w:color w:val="000000" w:themeColor="text1"/>
          <w:szCs w:val="21"/>
        </w:rPr>
      </w:pPr>
      <w:r>
        <w:rPr>
          <w:rFonts w:hint="eastAsia" w:ascii="黑体" w:hAnsi="黑体" w:eastAsia="黑体"/>
          <w:color w:val="000000" w:themeColor="text1"/>
          <w:sz w:val="32"/>
          <w:szCs w:val="32"/>
        </w:rPr>
        <w:t>三、教学质量监控与督导情况</w:t>
      </w:r>
    </w:p>
    <w:p>
      <w:pPr>
        <w:spacing w:line="360" w:lineRule="auto"/>
        <w:ind w:firstLine="640" w:firstLineChars="200"/>
        <w:jc w:val="left"/>
        <w:outlineLvl w:val="1"/>
        <w:rPr>
          <w:rFonts w:ascii="仿宋" w:hAnsi="仿宋" w:eastAsia="仿宋" w:cs="仿宋"/>
          <w:color w:val="000000"/>
          <w:sz w:val="32"/>
          <w:szCs w:val="32"/>
        </w:rPr>
      </w:pPr>
      <w:r>
        <w:rPr>
          <w:rFonts w:hint="eastAsia" w:ascii="楷体" w:hAnsi="楷体" w:eastAsia="楷体" w:cs="Times New Roman"/>
          <w:color w:val="000000" w:themeColor="text1"/>
          <w:sz w:val="32"/>
          <w:szCs w:val="32"/>
        </w:rPr>
        <w:t>（一）</w:t>
      </w:r>
      <w:r>
        <w:rPr>
          <w:rFonts w:hint="eastAsia" w:ascii="楷体" w:hAnsi="楷体" w:eastAsia="楷体" w:cs="仿宋"/>
          <w:color w:val="000000"/>
          <w:sz w:val="32"/>
          <w:szCs w:val="32"/>
          <w:lang w:eastAsia="zh-CN"/>
        </w:rPr>
        <w:t>认真开展线上线下教学</w:t>
      </w:r>
      <w:r>
        <w:rPr>
          <w:rFonts w:hint="eastAsia" w:ascii="楷体" w:hAnsi="楷体" w:eastAsia="楷体" w:cs="仿宋"/>
          <w:color w:val="000000"/>
          <w:sz w:val="32"/>
          <w:szCs w:val="32"/>
        </w:rPr>
        <w:t>督导工作</w:t>
      </w:r>
    </w:p>
    <w:p>
      <w:pPr>
        <w:spacing w:line="360" w:lineRule="auto"/>
        <w:ind w:firstLine="640" w:firstLineChars="200"/>
        <w:jc w:val="left"/>
        <w:rPr>
          <w:rFonts w:ascii="仿宋" w:hAnsi="仿宋" w:eastAsia="仿宋" w:cs="仿宋"/>
          <w:color w:val="000000"/>
          <w:sz w:val="32"/>
          <w:szCs w:val="32"/>
        </w:rPr>
      </w:pPr>
      <w:r>
        <w:rPr>
          <w:rFonts w:hint="eastAsia" w:ascii="仿宋" w:hAnsi="仿宋" w:eastAsia="仿宋" w:cs="仿宋"/>
          <w:color w:val="000000"/>
          <w:sz w:val="32"/>
          <w:szCs w:val="32"/>
        </w:rPr>
        <w:t>我校各教学单位根据《关于做好疫情防控期间线上本专科教学质量监控与督导工作的通知》（赤院教字〔2020〕6号）要求，在6月份校教学督导委员会及各教学单位教学督导组累计听课2264人次，积极发挥教学督导队伍的作用，使线上</w:t>
      </w:r>
      <w:r>
        <w:rPr>
          <w:rFonts w:hint="eastAsia" w:ascii="仿宋" w:hAnsi="仿宋" w:eastAsia="仿宋" w:cs="仿宋"/>
          <w:color w:val="000000"/>
          <w:sz w:val="32"/>
          <w:szCs w:val="32"/>
          <w:lang w:eastAsia="zh-CN"/>
        </w:rPr>
        <w:t>线下</w:t>
      </w:r>
      <w:r>
        <w:rPr>
          <w:rFonts w:hint="eastAsia" w:ascii="仿宋" w:hAnsi="仿宋" w:eastAsia="仿宋" w:cs="仿宋"/>
          <w:color w:val="000000"/>
          <w:sz w:val="32"/>
          <w:szCs w:val="32"/>
        </w:rPr>
        <w:t>教学质量稳步提升。</w:t>
      </w:r>
    </w:p>
    <w:p>
      <w:pPr>
        <w:spacing w:line="360" w:lineRule="auto"/>
        <w:ind w:firstLine="640" w:firstLineChars="200"/>
        <w:outlineLvl w:val="1"/>
        <w:rPr>
          <w:rFonts w:ascii="楷体" w:hAnsi="楷体" w:eastAsia="楷体" w:cs="仿宋"/>
          <w:color w:val="000000"/>
          <w:sz w:val="32"/>
          <w:szCs w:val="32"/>
        </w:rPr>
      </w:pPr>
      <w:r>
        <w:rPr>
          <w:rFonts w:hint="eastAsia" w:ascii="楷体" w:hAnsi="楷体" w:eastAsia="楷体" w:cs="Times New Roman"/>
          <w:color w:val="000000" w:themeColor="text1"/>
          <w:sz w:val="32"/>
          <w:szCs w:val="32"/>
        </w:rPr>
        <w:t>（二）</w:t>
      </w:r>
      <w:r>
        <w:rPr>
          <w:rFonts w:hint="eastAsia" w:ascii="楷体" w:hAnsi="楷体" w:eastAsia="楷体" w:cs="Times New Roman"/>
          <w:color w:val="000000" w:themeColor="text1"/>
          <w:sz w:val="32"/>
          <w:szCs w:val="32"/>
          <w:lang w:eastAsia="zh-CN"/>
        </w:rPr>
        <w:t>有效完成</w:t>
      </w:r>
      <w:r>
        <w:rPr>
          <w:rFonts w:hint="eastAsia" w:ascii="楷体" w:hAnsi="楷体" w:eastAsia="楷体" w:cs="仿宋"/>
          <w:color w:val="000000"/>
          <w:sz w:val="32"/>
          <w:szCs w:val="32"/>
        </w:rPr>
        <w:t>线上教学专项调研</w:t>
      </w:r>
      <w:r>
        <w:rPr>
          <w:rFonts w:hint="eastAsia" w:ascii="楷体" w:hAnsi="楷体" w:eastAsia="楷体" w:cs="仿宋"/>
          <w:color w:val="000000"/>
          <w:sz w:val="32"/>
          <w:szCs w:val="32"/>
          <w:lang w:eastAsia="zh-CN"/>
        </w:rPr>
        <w:t>暨</w:t>
      </w:r>
      <w:r>
        <w:rPr>
          <w:rFonts w:hint="eastAsia" w:ascii="楷体" w:hAnsi="楷体" w:eastAsia="楷体" w:cs="仿宋"/>
          <w:color w:val="000000"/>
          <w:sz w:val="32"/>
          <w:szCs w:val="32"/>
        </w:rPr>
        <w:t>期中教学检查工作</w:t>
      </w:r>
    </w:p>
    <w:p>
      <w:pPr>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lang w:eastAsia="zh-CN"/>
        </w:rPr>
        <w:t>在</w:t>
      </w:r>
      <w:r>
        <w:rPr>
          <w:rFonts w:hint="eastAsia" w:ascii="仿宋" w:hAnsi="仿宋" w:eastAsia="仿宋" w:cs="仿宋"/>
          <w:color w:val="000000"/>
          <w:sz w:val="32"/>
          <w:szCs w:val="32"/>
          <w:lang w:val="en-US" w:eastAsia="zh-CN"/>
        </w:rPr>
        <w:t>6月初，教务处</w:t>
      </w:r>
      <w:r>
        <w:rPr>
          <w:rFonts w:hint="eastAsia" w:ascii="仿宋" w:hAnsi="仿宋" w:eastAsia="仿宋" w:cs="仿宋"/>
          <w:color w:val="000000"/>
          <w:sz w:val="32"/>
          <w:szCs w:val="32"/>
          <w:lang w:eastAsia="zh-CN"/>
        </w:rPr>
        <w:t>结合《教务处关于2019-2020学年第二学期在线教学工作检查的通知》和常规教学管理工作安排部署，组建线上教学专项调研工作</w:t>
      </w:r>
      <w:r>
        <w:rPr>
          <w:rFonts w:hint="eastAsia" w:ascii="楷体" w:hAnsi="楷体" w:eastAsia="楷体" w:cs="仿宋"/>
          <w:color w:val="000000"/>
          <w:sz w:val="32"/>
          <w:szCs w:val="32"/>
          <w:lang w:eastAsia="zh-CN"/>
        </w:rPr>
        <w:t>暨</w:t>
      </w:r>
      <w:r>
        <w:rPr>
          <w:rFonts w:hint="eastAsia" w:ascii="仿宋" w:hAnsi="仿宋" w:eastAsia="仿宋" w:cs="仿宋"/>
          <w:color w:val="000000"/>
          <w:sz w:val="32"/>
          <w:szCs w:val="32"/>
          <w:lang w:eastAsia="zh-CN"/>
        </w:rPr>
        <w:t>期中教学检查工作组，</w:t>
      </w:r>
      <w:r>
        <w:rPr>
          <w:rFonts w:hint="eastAsia" w:ascii="仿宋" w:hAnsi="仿宋" w:eastAsia="仿宋" w:cs="仿宋"/>
          <w:color w:val="000000"/>
          <w:sz w:val="32"/>
          <w:szCs w:val="32"/>
        </w:rPr>
        <w:t>对我校文科、理科、工科、艺术及医学5大类10家教学单位，进行了深入访谈</w:t>
      </w:r>
      <w:r>
        <w:rPr>
          <w:rFonts w:hint="eastAsia" w:ascii="仿宋" w:hAnsi="仿宋" w:eastAsia="仿宋" w:cs="仿宋"/>
          <w:color w:val="000000"/>
          <w:sz w:val="32"/>
          <w:szCs w:val="32"/>
          <w:lang w:eastAsia="zh-CN"/>
        </w:rPr>
        <w:t>调研</w:t>
      </w:r>
      <w:r>
        <w:rPr>
          <w:rFonts w:hint="eastAsia" w:ascii="仿宋" w:hAnsi="仿宋" w:eastAsia="仿宋" w:cs="仿宋"/>
          <w:color w:val="000000"/>
          <w:sz w:val="32"/>
          <w:szCs w:val="32"/>
        </w:rPr>
        <w:t>及</w:t>
      </w:r>
      <w:r>
        <w:rPr>
          <w:rFonts w:hint="eastAsia" w:ascii="仿宋" w:hAnsi="仿宋" w:eastAsia="仿宋" w:cs="仿宋"/>
          <w:color w:val="000000"/>
          <w:sz w:val="32"/>
          <w:szCs w:val="32"/>
          <w:lang w:eastAsia="zh-CN"/>
        </w:rPr>
        <w:t>线上教学检查</w:t>
      </w:r>
      <w:r>
        <w:rPr>
          <w:rFonts w:hint="eastAsia" w:ascii="仿宋" w:hAnsi="仿宋" w:eastAsia="仿宋" w:cs="仿宋"/>
          <w:color w:val="000000"/>
          <w:sz w:val="32"/>
          <w:szCs w:val="32"/>
        </w:rPr>
        <w:t>工作。</w:t>
      </w:r>
    </w:p>
    <w:p>
      <w:pPr>
        <w:ind w:firstLine="640" w:firstLineChars="200"/>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lang w:eastAsia="zh-CN"/>
        </w:rPr>
        <w:t>通过本次调研结果显示，</w:t>
      </w:r>
      <w:r>
        <w:rPr>
          <w:rFonts w:hint="eastAsia" w:ascii="仿宋" w:hAnsi="仿宋" w:eastAsia="仿宋" w:cs="仿宋"/>
          <w:color w:val="000000"/>
          <w:sz w:val="32"/>
          <w:szCs w:val="32"/>
        </w:rPr>
        <w:t>各教学单位根据教育部和自治区教育厅关于“停课不停教、停课不停学”的工作部署，严格落实《赤峰学院本专科学生返校前教学工作方案（赤院院字〔2020〕5号）》及</w:t>
      </w:r>
      <w:r>
        <w:rPr>
          <w:rFonts w:hint="eastAsia" w:ascii="仿宋" w:hAnsi="仿宋" w:eastAsia="仿宋" w:cs="Times New Roman"/>
          <w:color w:val="000000"/>
          <w:sz w:val="32"/>
          <w:szCs w:val="32"/>
        </w:rPr>
        <w:t>《关于做好疫情防控期间线上本专科教学质量监控与督导工作的通知》（赤院教字〔2020〕6号）</w:t>
      </w:r>
      <w:r>
        <w:rPr>
          <w:rFonts w:hint="eastAsia" w:ascii="仿宋" w:hAnsi="仿宋" w:eastAsia="仿宋" w:cs="仿宋"/>
          <w:color w:val="000000"/>
          <w:sz w:val="32"/>
          <w:szCs w:val="32"/>
        </w:rPr>
        <w:t>的文件精神，切实做好2020 年春季教学工作，</w:t>
      </w:r>
      <w:r>
        <w:rPr>
          <w:rFonts w:hint="eastAsia" w:ascii="仿宋" w:hAnsi="仿宋" w:eastAsia="仿宋" w:cs="仿宋"/>
          <w:color w:val="000000"/>
          <w:kern w:val="0"/>
          <w:sz w:val="32"/>
          <w:szCs w:val="32"/>
        </w:rPr>
        <w:t>为确保疫情防控工作期间教学工作有序开展，做好疫情防控期间本专科线上教育教学质量监控与督导工作，各单位</w:t>
      </w:r>
      <w:r>
        <w:rPr>
          <w:rFonts w:hint="eastAsia" w:ascii="仿宋" w:hAnsi="仿宋" w:eastAsia="仿宋" w:cs="仿宋"/>
          <w:color w:val="000000"/>
          <w:kern w:val="0"/>
          <w:sz w:val="32"/>
          <w:szCs w:val="32"/>
          <w:lang w:eastAsia="zh-CN"/>
        </w:rPr>
        <w:t>结合自身情况相应</w:t>
      </w:r>
      <w:r>
        <w:rPr>
          <w:rFonts w:hint="eastAsia" w:ascii="仿宋" w:hAnsi="仿宋" w:eastAsia="仿宋" w:cs="仿宋"/>
          <w:color w:val="000000"/>
          <w:kern w:val="0"/>
          <w:sz w:val="32"/>
          <w:szCs w:val="32"/>
        </w:rPr>
        <w:t>制定了疫情防控期间教学工作安排预案</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rPr>
        <w:t>学生返校前教学工作方案</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rPr>
        <w:t>线上教学质量与督导方案</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rPr>
        <w:t>2020年春季学期学业检测工作方案等</w:t>
      </w:r>
      <w:r>
        <w:rPr>
          <w:rFonts w:hint="eastAsia" w:ascii="仿宋" w:hAnsi="仿宋" w:eastAsia="仿宋" w:cs="仿宋"/>
          <w:color w:val="000000"/>
          <w:kern w:val="0"/>
          <w:sz w:val="32"/>
          <w:szCs w:val="32"/>
          <w:lang w:eastAsia="zh-CN"/>
        </w:rPr>
        <w:t>，确保有序开展教学工作</w:t>
      </w:r>
      <w:r>
        <w:rPr>
          <w:rFonts w:hint="eastAsia" w:ascii="仿宋" w:hAnsi="仿宋" w:eastAsia="仿宋" w:cs="仿宋"/>
          <w:color w:val="000000"/>
          <w:kern w:val="0"/>
          <w:sz w:val="32"/>
          <w:szCs w:val="32"/>
        </w:rPr>
        <w:t>。</w:t>
      </w:r>
      <w:r>
        <w:rPr>
          <w:rFonts w:hint="eastAsia" w:ascii="仿宋" w:hAnsi="仿宋" w:eastAsia="仿宋" w:cs="仿宋"/>
          <w:color w:val="000000"/>
          <w:sz w:val="32"/>
          <w:szCs w:val="32"/>
          <w:lang w:eastAsia="zh-CN"/>
        </w:rPr>
        <w:t>各教学单位学生整体学习状况良好，按照《赤峰学院2020年春季学期学业检测工作方案》</w:t>
      </w:r>
      <w:r>
        <w:rPr>
          <w:rFonts w:hint="eastAsia" w:ascii="仿宋" w:hAnsi="仿宋" w:eastAsia="仿宋" w:cs="Times New Roman"/>
          <w:color w:val="000000"/>
          <w:sz w:val="32"/>
          <w:szCs w:val="32"/>
        </w:rPr>
        <w:t>（赤院教字〔2020〕</w:t>
      </w:r>
      <w:r>
        <w:rPr>
          <w:rFonts w:hint="eastAsia" w:ascii="仿宋" w:hAnsi="仿宋" w:eastAsia="仿宋" w:cs="Times New Roman"/>
          <w:color w:val="000000"/>
          <w:sz w:val="32"/>
          <w:szCs w:val="32"/>
          <w:lang w:val="en-US" w:eastAsia="zh-CN"/>
        </w:rPr>
        <w:t>10</w:t>
      </w:r>
      <w:r>
        <w:rPr>
          <w:rFonts w:hint="eastAsia" w:ascii="仿宋" w:hAnsi="仿宋" w:eastAsia="仿宋" w:cs="Times New Roman"/>
          <w:color w:val="000000"/>
          <w:sz w:val="32"/>
          <w:szCs w:val="32"/>
        </w:rPr>
        <w:t>号）</w:t>
      </w:r>
      <w:r>
        <w:rPr>
          <w:rFonts w:hint="eastAsia" w:ascii="仿宋" w:hAnsi="仿宋" w:eastAsia="仿宋" w:cs="仿宋"/>
          <w:color w:val="000000"/>
          <w:sz w:val="32"/>
          <w:szCs w:val="32"/>
          <w:lang w:eastAsia="zh-CN"/>
        </w:rPr>
        <w:t>学业检测工作将在</w:t>
      </w:r>
      <w:r>
        <w:rPr>
          <w:rFonts w:ascii="仿宋" w:hAnsi="仿宋" w:eastAsia="仿宋" w:cs="仿宋"/>
          <w:i w:val="0"/>
          <w:caps w:val="0"/>
          <w:color w:val="000000"/>
          <w:spacing w:val="0"/>
          <w:sz w:val="32"/>
          <w:szCs w:val="32"/>
        </w:rPr>
        <w:t>正式返校前</w:t>
      </w:r>
      <w:r>
        <w:rPr>
          <w:rFonts w:hint="eastAsia" w:ascii="仿宋" w:hAnsi="仿宋" w:eastAsia="仿宋" w:cs="仿宋"/>
          <w:i w:val="0"/>
          <w:caps w:val="0"/>
          <w:color w:val="000000"/>
          <w:spacing w:val="0"/>
          <w:sz w:val="32"/>
          <w:szCs w:val="32"/>
        </w:rPr>
        <w:t>1周至返校后1周内完成</w:t>
      </w:r>
      <w:r>
        <w:rPr>
          <w:rFonts w:hint="eastAsia" w:ascii="仿宋" w:hAnsi="仿宋" w:eastAsia="仿宋" w:cs="仿宋"/>
          <w:color w:val="000000"/>
          <w:sz w:val="32"/>
          <w:szCs w:val="32"/>
          <w:lang w:eastAsia="zh-CN"/>
        </w:rPr>
        <w:t>。</w:t>
      </w:r>
    </w:p>
    <w:p>
      <w:pPr>
        <w:ind w:firstLine="640" w:firstLineChars="200"/>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eastAsia="zh-CN"/>
        </w:rPr>
        <w:t>通过本次调研结果显示，</w:t>
      </w:r>
      <w:r>
        <w:rPr>
          <w:rFonts w:hint="eastAsia" w:ascii="仿宋" w:hAnsi="仿宋" w:eastAsia="仿宋" w:cs="仿宋"/>
          <w:color w:val="000000"/>
          <w:sz w:val="32"/>
          <w:szCs w:val="32"/>
        </w:rPr>
        <w:t>各单位任课教师均能熟练利用各类教学软件进行线上教学，从最初的抵触到逐渐接受，到主动探索更新教学方法，</w:t>
      </w:r>
      <w:r>
        <w:rPr>
          <w:rFonts w:hint="eastAsia" w:ascii="仿宋" w:hAnsi="仿宋" w:eastAsia="仿宋"/>
          <w:color w:val="000000"/>
          <w:sz w:val="32"/>
          <w:szCs w:val="32"/>
        </w:rPr>
        <w:t>从熟悉网课流程到准备网课资料，从网课平台到网课课堂，线上教学工作井然有序开展。各单位以教务办督促教研室主任，教研室主任督促教师，不落环节，不留死角，充分发挥基层教学单元的战斗堡垒作用。同时在线上教学期间各单位教师还发扬了“以新带老”的精神，年轻教师主动帮助年纪大的教师熟悉网络平台的运用，讲解如何设置任务点，帮助上传教学资料等工作，凸显了青年教师的学习优势，保障了全体教师线上教学工作的平稳进行，同时</w:t>
      </w:r>
      <w:r>
        <w:rPr>
          <w:rFonts w:hint="eastAsia" w:ascii="仿宋" w:hAnsi="仿宋" w:eastAsia="仿宋" w:cs="仿宋"/>
          <w:color w:val="000000"/>
          <w:sz w:val="32"/>
          <w:szCs w:val="32"/>
        </w:rPr>
        <w:t>教师们线上教学的能力也得到质的提升。</w:t>
      </w:r>
      <w:r>
        <w:rPr>
          <w:rFonts w:hint="eastAsia" w:ascii="仿宋" w:hAnsi="仿宋" w:eastAsia="仿宋" w:cs="仿宋"/>
          <w:color w:val="000000"/>
          <w:sz w:val="32"/>
          <w:szCs w:val="32"/>
          <w:lang w:eastAsia="zh-CN"/>
        </w:rPr>
        <w:t>在</w:t>
      </w:r>
      <w:r>
        <w:rPr>
          <w:rFonts w:hint="eastAsia" w:ascii="仿宋" w:hAnsi="仿宋" w:eastAsia="仿宋" w:cs="仿宋"/>
          <w:color w:val="000000"/>
          <w:sz w:val="32"/>
          <w:szCs w:val="32"/>
        </w:rPr>
        <w:t>调研过程中，还有单位建议，复课以后部分课程依旧可以采用线上教学方式，线上教学方式符合部分课程的教授特点。</w:t>
      </w:r>
    </w:p>
    <w:p>
      <w:pPr>
        <w:spacing w:line="360" w:lineRule="auto"/>
        <w:ind w:firstLine="640" w:firstLineChars="200"/>
        <w:outlineLvl w:val="1"/>
        <w:rPr>
          <w:rFonts w:ascii="楷体" w:hAnsi="楷体" w:eastAsia="楷体" w:cs="仿宋"/>
          <w:color w:val="000000"/>
          <w:sz w:val="32"/>
          <w:szCs w:val="32"/>
        </w:rPr>
      </w:pPr>
      <w:r>
        <w:rPr>
          <w:rFonts w:hint="eastAsia" w:ascii="楷体" w:hAnsi="楷体" w:eastAsia="楷体" w:cs="仿宋"/>
          <w:color w:val="000000"/>
          <w:sz w:val="32"/>
          <w:szCs w:val="32"/>
        </w:rPr>
        <w:t>（三）</w:t>
      </w:r>
      <w:r>
        <w:rPr>
          <w:rFonts w:hint="eastAsia" w:ascii="楷体" w:hAnsi="楷体" w:eastAsia="楷体" w:cs="仿宋"/>
          <w:color w:val="000000"/>
          <w:sz w:val="32"/>
          <w:szCs w:val="32"/>
          <w:lang w:eastAsia="zh-CN"/>
        </w:rPr>
        <w:t>顺利开展</w:t>
      </w:r>
      <w:r>
        <w:rPr>
          <w:rFonts w:hint="eastAsia" w:ascii="楷体" w:hAnsi="楷体" w:eastAsia="楷体" w:cs="仿宋"/>
          <w:color w:val="000000"/>
          <w:sz w:val="32"/>
          <w:szCs w:val="32"/>
        </w:rPr>
        <w:t>第二批开学复课学生“开学第一课”活动</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于</w:t>
      </w:r>
      <w:r>
        <w:rPr>
          <w:rFonts w:hint="eastAsia" w:ascii="仿宋" w:hAnsi="仿宋" w:eastAsia="仿宋" w:cs="仿宋"/>
          <w:sz w:val="32"/>
          <w:szCs w:val="32"/>
        </w:rPr>
        <w:t>6月8日至12日，按照学校下发的《关于组织2020年春季学期第二批开学复课学生上好“开学第一课”的通知》要求，党委学生工作部组织各二级学院在第二批开学复课学生中开展了“开学第一课”活动。本次“开学第一课”活动以二级学院为单位组织开展，由党委学生工作部统一提供授课大纲，主要内容包括疫情防控形势与政策教育，爱国主义、集体主义与社会责任教育，学校疫情防控与开学复课各项工作部署及要求，个人防护知识和生命健康教育，法制纪律教育以及各二级学院根据自身实际需要自行安排的教育内容。此次开展的“开学第一课”活动，既是一堂严肃的疫情防控科普课，同时也是一堂生动的思想政治教育课，不仅使同学们进一步认识到了珍爱生命、科学防控的重要性，提升了自我防范意识和自我防控能力，同时也对青年学生进行了一次爱国主义教育，增强了心怀家国、勇于奉献的责任意识和担当精神。</w:t>
      </w:r>
    </w:p>
    <w:p>
      <w:pPr>
        <w:numPr>
          <w:ilvl w:val="0"/>
          <w:numId w:val="1"/>
        </w:numPr>
        <w:spacing w:line="360" w:lineRule="auto"/>
        <w:ind w:firstLine="640" w:firstLineChars="200"/>
        <w:outlineLvl w:val="1"/>
        <w:rPr>
          <w:rFonts w:hint="eastAsia" w:ascii="楷体" w:hAnsi="楷体" w:eastAsia="楷体" w:cs="仿宋"/>
          <w:color w:val="000000"/>
          <w:sz w:val="32"/>
          <w:szCs w:val="32"/>
          <w:highlight w:val="none"/>
          <w:lang w:eastAsia="zh-CN"/>
        </w:rPr>
      </w:pPr>
      <w:r>
        <w:rPr>
          <w:rFonts w:hint="eastAsia" w:ascii="楷体" w:hAnsi="楷体" w:eastAsia="楷体" w:cs="仿宋"/>
          <w:color w:val="000000"/>
          <w:sz w:val="32"/>
          <w:szCs w:val="32"/>
          <w:highlight w:val="none"/>
          <w:lang w:eastAsia="zh-CN"/>
        </w:rPr>
        <w:t>圆满完成我校第三届“超星杯”移动教学大赛</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atLeast"/>
        <w:ind w:left="0" w:firstLine="561"/>
        <w:textAlignment w:val="auto"/>
        <w:rPr>
          <w:rFonts w:hint="eastAsia" w:ascii="仿宋" w:hAnsi="仿宋" w:eastAsia="仿宋" w:cs="仿宋"/>
          <w:color w:val="000000"/>
          <w:sz w:val="32"/>
          <w:szCs w:val="32"/>
          <w:lang w:val="en-US" w:eastAsia="zh-CN"/>
        </w:rPr>
      </w:pPr>
      <w:r>
        <w:rPr>
          <w:rFonts w:hint="eastAsia" w:ascii="仿宋" w:hAnsi="仿宋" w:eastAsia="仿宋" w:cs="仿宋"/>
          <w:kern w:val="2"/>
          <w:sz w:val="32"/>
          <w:szCs w:val="32"/>
          <w:lang w:val="en-US" w:eastAsia="zh-CN" w:bidi="ar-SA"/>
        </w:rPr>
        <w:t>于6月</w:t>
      </w:r>
      <w:r>
        <w:rPr>
          <w:rFonts w:hint="eastAsia" w:ascii="仿宋" w:hAnsi="仿宋" w:eastAsia="仿宋" w:cs="仿宋"/>
          <w:color w:val="auto"/>
          <w:kern w:val="2"/>
          <w:sz w:val="32"/>
          <w:szCs w:val="32"/>
          <w:lang w:val="en-US" w:eastAsia="zh-CN" w:bidi="ar-SA"/>
        </w:rPr>
        <w:t>24日，</w:t>
      </w:r>
      <w:r>
        <w:rPr>
          <w:rFonts w:hint="eastAsia" w:ascii="仿宋" w:hAnsi="仿宋" w:eastAsia="仿宋" w:cs="仿宋"/>
          <w:color w:val="000000"/>
          <w:sz w:val="32"/>
          <w:szCs w:val="32"/>
          <w:lang w:val="en-US" w:eastAsia="zh-CN"/>
        </w:rPr>
        <w:t>由我校和北京超星尔雅教育科技有限公司联合举办的第三届“超星杯”移动教学大赛。经过激烈角逐，18位教师脱颖而出，取得了优异成绩，其中，化学与生命科学学院的赵丽敏、蒙古学学院的乌日罕两位教师获得一等奖；数学与计算机科学学院的顾雅珍、秦晓薇，教师发展与教学评估中心的乌英嘎三位教师获得二等奖；数学与计算机科学学院的邹妍、段宏伟，化学与生命科学学院的钱程，经济与管理学院的李银玉、刘立达五位教师获得三等奖；基础医学院的孙琪等八位教师获得优秀奖。此次大赛的成功举办，对于广大教师积极应用现代信息技术手段，更新教学理念，创新教学模式，提高教学质量，推动课堂模式与考核方式改革起到了积极作用。</w:t>
      </w:r>
    </w:p>
    <w:p>
      <w:pPr>
        <w:spacing w:line="360" w:lineRule="auto"/>
        <w:ind w:firstLine="640" w:firstLineChars="200"/>
        <w:outlineLvl w:val="1"/>
        <w:rPr>
          <w:rFonts w:ascii="仿宋" w:hAnsi="仿宋" w:eastAsia="仿宋" w:cs="仿宋"/>
          <w:color w:val="000000"/>
          <w:sz w:val="32"/>
          <w:szCs w:val="32"/>
          <w:highlight w:val="none"/>
        </w:rPr>
      </w:pPr>
      <w:r>
        <w:rPr>
          <w:rFonts w:hint="eastAsia" w:ascii="楷体" w:hAnsi="楷体" w:eastAsia="楷体" w:cs="仿宋"/>
          <w:color w:val="000000"/>
          <w:sz w:val="32"/>
          <w:szCs w:val="32"/>
          <w:highlight w:val="none"/>
          <w:lang w:eastAsia="zh-CN"/>
        </w:rPr>
        <w:t>（五）认真组织</w:t>
      </w:r>
      <w:r>
        <w:rPr>
          <w:rFonts w:hint="eastAsia" w:ascii="楷体" w:hAnsi="楷体" w:eastAsia="楷体" w:cs="仿宋"/>
          <w:color w:val="000000"/>
          <w:sz w:val="32"/>
          <w:szCs w:val="32"/>
          <w:highlight w:val="none"/>
        </w:rPr>
        <w:t>线上线下期末考试工作</w:t>
      </w:r>
    </w:p>
    <w:p>
      <w:pPr>
        <w:pStyle w:val="11"/>
        <w:spacing w:before="0" w:beforeAutospacing="0" w:after="0" w:afterAutospacing="0" w:line="600" w:lineRule="atLeast"/>
        <w:ind w:firstLine="640" w:firstLineChars="200"/>
        <w:jc w:val="both"/>
        <w:rPr>
          <w:rFonts w:ascii="仿宋" w:hAnsi="仿宋" w:eastAsia="仿宋" w:cs="仿宋"/>
          <w:color w:val="000000"/>
          <w:sz w:val="32"/>
          <w:szCs w:val="32"/>
        </w:rPr>
      </w:pPr>
      <w:r>
        <w:rPr>
          <w:rFonts w:hint="eastAsia" w:ascii="仿宋" w:hAnsi="仿宋" w:eastAsia="仿宋" w:cs="仿宋"/>
          <w:color w:val="000000"/>
          <w:sz w:val="32"/>
          <w:szCs w:val="32"/>
          <w:lang w:eastAsia="zh-CN"/>
        </w:rPr>
        <w:t>根据《赤峰学院关于2020年春季学期第二批学生开学复课后的教学工作安排》（</w:t>
      </w:r>
      <w:r>
        <w:rPr>
          <w:rFonts w:ascii="仿宋" w:hAnsi="仿宋" w:eastAsia="仿宋" w:cs="仿宋"/>
          <w:i w:val="0"/>
          <w:caps w:val="0"/>
          <w:color w:val="000000"/>
          <w:spacing w:val="0"/>
          <w:sz w:val="31"/>
          <w:szCs w:val="31"/>
        </w:rPr>
        <w:t>赤院教字〔</w:t>
      </w:r>
      <w:r>
        <w:rPr>
          <w:rFonts w:hint="eastAsia" w:ascii="仿宋" w:hAnsi="仿宋" w:eastAsia="仿宋" w:cs="仿宋"/>
          <w:i w:val="0"/>
          <w:caps w:val="0"/>
          <w:color w:val="000000"/>
          <w:spacing w:val="0"/>
          <w:sz w:val="31"/>
          <w:szCs w:val="31"/>
          <w:bdr w:val="none" w:color="auto" w:sz="0" w:space="0"/>
          <w:lang w:val="en-US"/>
        </w:rPr>
        <w:t>2020</w:t>
      </w:r>
      <w:r>
        <w:rPr>
          <w:rFonts w:hint="eastAsia" w:ascii="仿宋" w:hAnsi="仿宋" w:eastAsia="仿宋" w:cs="仿宋"/>
          <w:i w:val="0"/>
          <w:caps w:val="0"/>
          <w:color w:val="000000"/>
          <w:spacing w:val="0"/>
          <w:sz w:val="31"/>
          <w:szCs w:val="31"/>
        </w:rPr>
        <w:t>〕</w:t>
      </w:r>
      <w:r>
        <w:rPr>
          <w:rFonts w:hint="eastAsia" w:ascii="仿宋" w:hAnsi="仿宋" w:eastAsia="仿宋" w:cs="仿宋"/>
          <w:i w:val="0"/>
          <w:caps w:val="0"/>
          <w:color w:val="000000"/>
          <w:spacing w:val="0"/>
          <w:sz w:val="31"/>
          <w:szCs w:val="31"/>
          <w:bdr w:val="none" w:color="auto" w:sz="0" w:space="0"/>
          <w:lang w:val="en-US"/>
        </w:rPr>
        <w:t>11</w:t>
      </w:r>
      <w:r>
        <w:rPr>
          <w:rFonts w:hint="eastAsia" w:ascii="仿宋" w:hAnsi="仿宋" w:eastAsia="仿宋" w:cs="仿宋"/>
          <w:i w:val="0"/>
          <w:caps w:val="0"/>
          <w:color w:val="000000"/>
          <w:spacing w:val="0"/>
          <w:sz w:val="31"/>
          <w:szCs w:val="31"/>
        </w:rPr>
        <w:t>号</w:t>
      </w:r>
      <w:r>
        <w:rPr>
          <w:rFonts w:hint="eastAsia" w:ascii="仿宋" w:hAnsi="仿宋" w:eastAsia="仿宋" w:cs="仿宋"/>
          <w:color w:val="000000"/>
          <w:sz w:val="32"/>
          <w:szCs w:val="32"/>
          <w:lang w:eastAsia="zh-CN"/>
        </w:rPr>
        <w:t>）和</w:t>
      </w:r>
      <w:r>
        <w:rPr>
          <w:rFonts w:hint="eastAsia" w:ascii="仿宋" w:hAnsi="仿宋" w:eastAsia="仿宋" w:cs="仿宋"/>
          <w:color w:val="000000"/>
          <w:sz w:val="32"/>
          <w:szCs w:val="32"/>
        </w:rPr>
        <w:t>《赤峰学院考试管理办法》（赤院院字〔2012〕147 号）</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各单位</w:t>
      </w:r>
      <w:r>
        <w:rPr>
          <w:rFonts w:hint="eastAsia" w:ascii="仿宋" w:hAnsi="仿宋" w:eastAsia="仿宋" w:cs="仿宋"/>
          <w:color w:val="000000"/>
          <w:sz w:val="32"/>
          <w:szCs w:val="32"/>
          <w:lang w:eastAsia="zh-CN"/>
        </w:rPr>
        <w:t>有序</w:t>
      </w:r>
      <w:r>
        <w:rPr>
          <w:rFonts w:hint="eastAsia" w:ascii="仿宋" w:hAnsi="仿宋" w:eastAsia="仿宋" w:cs="仿宋"/>
          <w:color w:val="000000"/>
          <w:sz w:val="32"/>
          <w:szCs w:val="32"/>
        </w:rPr>
        <w:t>组织线上线下</w:t>
      </w:r>
      <w:r>
        <w:rPr>
          <w:rFonts w:hint="eastAsia" w:ascii="仿宋" w:hAnsi="仿宋" w:eastAsia="仿宋" w:cs="仿宋"/>
          <w:color w:val="000000"/>
          <w:sz w:val="32"/>
          <w:szCs w:val="32"/>
          <w:lang w:eastAsia="zh-CN"/>
        </w:rPr>
        <w:t>期末</w:t>
      </w:r>
      <w:r>
        <w:rPr>
          <w:rFonts w:hint="eastAsia" w:ascii="仿宋" w:hAnsi="仿宋" w:eastAsia="仿宋" w:cs="仿宋"/>
          <w:color w:val="000000"/>
          <w:sz w:val="32"/>
          <w:szCs w:val="32"/>
        </w:rPr>
        <w:t>考试工作。本学期共举行线上考试 591场，线下考试118场。各单位均成立考试领导小组及巡考小组，有序开展考试工作。学校教学督导委员会和教务处分别进行线上及线下巡考工作，巡考过程中，发现一起考试违纪现象，教务处依据相关文件对2名违纪学生予以取消成绩及通报处理。</w:t>
      </w:r>
    </w:p>
    <w:p>
      <w:pPr>
        <w:spacing w:before="45" w:line="560" w:lineRule="exact"/>
        <w:ind w:right="252" w:firstLine="640" w:firstLineChars="200"/>
        <w:jc w:val="left"/>
        <w:outlineLvl w:val="0"/>
        <w:rPr>
          <w:rFonts w:ascii="楷体" w:hAnsi="楷体" w:eastAsia="楷体"/>
          <w:color w:val="000000"/>
          <w:sz w:val="32"/>
          <w:szCs w:val="32"/>
        </w:rPr>
      </w:pPr>
      <w:r>
        <w:rPr>
          <w:rFonts w:hint="eastAsia" w:ascii="楷体" w:hAnsi="楷体" w:eastAsia="楷体"/>
          <w:color w:val="000000"/>
          <w:sz w:val="32"/>
          <w:szCs w:val="32"/>
        </w:rPr>
        <w:t>四</w:t>
      </w:r>
      <w:r>
        <w:rPr>
          <w:rFonts w:ascii="楷体" w:hAnsi="楷体" w:eastAsia="楷体"/>
          <w:color w:val="000000"/>
          <w:sz w:val="32"/>
          <w:szCs w:val="32"/>
        </w:rPr>
        <w:t>、</w:t>
      </w:r>
      <w:r>
        <w:rPr>
          <w:rFonts w:hint="eastAsia" w:ascii="楷体" w:hAnsi="楷体" w:eastAsia="楷体"/>
          <w:color w:val="000000"/>
          <w:sz w:val="32"/>
          <w:szCs w:val="32"/>
        </w:rPr>
        <w:t>总</w:t>
      </w:r>
      <w:r>
        <w:rPr>
          <w:rFonts w:ascii="楷体" w:hAnsi="楷体" w:eastAsia="楷体"/>
          <w:color w:val="000000"/>
          <w:sz w:val="32"/>
          <w:szCs w:val="32"/>
        </w:rPr>
        <w:t>结</w:t>
      </w:r>
    </w:p>
    <w:p>
      <w:pPr>
        <w:spacing w:line="360" w:lineRule="auto"/>
        <w:ind w:firstLine="640" w:firstLineChars="200"/>
        <w:jc w:val="left"/>
        <w:rPr>
          <w:rFonts w:ascii="宋体" w:hAnsi="宋体"/>
          <w:bCs/>
          <w:color w:val="000000"/>
          <w:sz w:val="28"/>
          <w:szCs w:val="28"/>
        </w:rPr>
      </w:pPr>
      <w:r>
        <w:rPr>
          <w:rFonts w:hint="eastAsia" w:ascii="仿宋" w:hAnsi="仿宋" w:eastAsia="仿宋" w:cs="仿宋"/>
          <w:color w:val="000000"/>
          <w:sz w:val="32"/>
          <w:szCs w:val="32"/>
        </w:rPr>
        <w:t>从平台运行数据来看，全校师生已完全</w:t>
      </w:r>
      <w:r>
        <w:rPr>
          <w:rFonts w:ascii="仿宋" w:hAnsi="仿宋" w:eastAsia="仿宋" w:cs="仿宋"/>
          <w:color w:val="000000"/>
          <w:sz w:val="32"/>
          <w:szCs w:val="32"/>
        </w:rPr>
        <w:t>适应</w:t>
      </w:r>
      <w:r>
        <w:rPr>
          <w:rFonts w:hint="eastAsia" w:ascii="仿宋" w:hAnsi="仿宋" w:eastAsia="仿宋" w:cs="仿宋"/>
          <w:color w:val="000000"/>
          <w:sz w:val="32"/>
          <w:szCs w:val="32"/>
        </w:rPr>
        <w:t>并圆满完成了</w:t>
      </w:r>
      <w:r>
        <w:rPr>
          <w:rFonts w:ascii="仿宋" w:hAnsi="仿宋" w:eastAsia="仿宋" w:cs="仿宋"/>
          <w:color w:val="000000"/>
          <w:sz w:val="32"/>
          <w:szCs w:val="32"/>
        </w:rPr>
        <w:t>线上教学</w:t>
      </w:r>
      <w:r>
        <w:rPr>
          <w:rFonts w:hint="eastAsia" w:ascii="仿宋" w:hAnsi="仿宋" w:eastAsia="仿宋" w:cs="仿宋"/>
          <w:color w:val="000000"/>
          <w:sz w:val="32"/>
          <w:szCs w:val="32"/>
        </w:rPr>
        <w:t>；从教学总体运行情况和教学质量监控与督导情况来看，我校6月份线上线下教学运行顺畅有效，线上线下教学秩序稳定有效，教学管理工作严谨有序，本学期线上线下各项教学工作即将圆满收官。</w:t>
      </w:r>
    </w:p>
    <w:p>
      <w:pPr>
        <w:rPr>
          <w:rFonts w:asciiTheme="minorEastAsia" w:hAnsiTheme="minorEastAsia"/>
          <w:bCs/>
          <w:color w:val="000000" w:themeColor="text1"/>
          <w:sz w:val="28"/>
          <w:szCs w:val="28"/>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enk Qagan Tig">
    <w:panose1 w:val="02000500000000000000"/>
    <w:charset w:val="00"/>
    <w:family w:val="auto"/>
    <w:pitch w:val="default"/>
    <w:sig w:usb0="A000029F" w:usb1="1041E44A" w:usb2="00020012" w:usb3="00000000" w:csb0="00000003"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Mongolian Baiti">
    <w:panose1 w:val="03000500000000000000"/>
    <w:charset w:val="00"/>
    <w:family w:val="script"/>
    <w:pitch w:val="default"/>
    <w:sig w:usb0="80000023" w:usb1="00000000" w:usb2="00020000" w:usb3="00000000" w:csb0="00000001"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方正小标宋简体">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03215"/>
    </w:sdtPr>
    <w:sdtContent>
      <w:p>
        <w:pPr>
          <w:pStyle w:val="9"/>
          <w:jc w:val="center"/>
        </w:pPr>
        <w:r>
          <w:fldChar w:fldCharType="begin"/>
        </w:r>
        <w:r>
          <w:instrText xml:space="preserve">PAGE   \* MERGEFORMAT</w:instrText>
        </w:r>
        <w:r>
          <w:fldChar w:fldCharType="separate"/>
        </w:r>
        <w:r>
          <w:rPr>
            <w:lang w:val="zh-CN"/>
          </w:rPr>
          <w:t>1</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D66C5"/>
    <w:multiLevelType w:val="singleLevel"/>
    <w:tmpl w:val="1E0D66C5"/>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E5ED3"/>
    <w:rsid w:val="00001090"/>
    <w:rsid w:val="00002B70"/>
    <w:rsid w:val="000163E4"/>
    <w:rsid w:val="00052792"/>
    <w:rsid w:val="000538AE"/>
    <w:rsid w:val="00062432"/>
    <w:rsid w:val="00083992"/>
    <w:rsid w:val="000A1A68"/>
    <w:rsid w:val="000C1B98"/>
    <w:rsid w:val="000C425A"/>
    <w:rsid w:val="000E5DD0"/>
    <w:rsid w:val="000E5E55"/>
    <w:rsid w:val="000E6EFE"/>
    <w:rsid w:val="000F68AB"/>
    <w:rsid w:val="00111926"/>
    <w:rsid w:val="00111F60"/>
    <w:rsid w:val="0011287D"/>
    <w:rsid w:val="001210F1"/>
    <w:rsid w:val="00121C50"/>
    <w:rsid w:val="00124F60"/>
    <w:rsid w:val="001269FC"/>
    <w:rsid w:val="001414CF"/>
    <w:rsid w:val="0014201C"/>
    <w:rsid w:val="0014290A"/>
    <w:rsid w:val="00143C26"/>
    <w:rsid w:val="00146804"/>
    <w:rsid w:val="00163D30"/>
    <w:rsid w:val="001808A6"/>
    <w:rsid w:val="00186287"/>
    <w:rsid w:val="001914FB"/>
    <w:rsid w:val="001A2ADC"/>
    <w:rsid w:val="001B430D"/>
    <w:rsid w:val="001B674B"/>
    <w:rsid w:val="001C2AAB"/>
    <w:rsid w:val="001E3424"/>
    <w:rsid w:val="001E498D"/>
    <w:rsid w:val="001F13B3"/>
    <w:rsid w:val="001F270B"/>
    <w:rsid w:val="001F2E66"/>
    <w:rsid w:val="001F524C"/>
    <w:rsid w:val="001F526B"/>
    <w:rsid w:val="00203601"/>
    <w:rsid w:val="00220796"/>
    <w:rsid w:val="0022437C"/>
    <w:rsid w:val="00234833"/>
    <w:rsid w:val="0024130C"/>
    <w:rsid w:val="00241513"/>
    <w:rsid w:val="00241DCE"/>
    <w:rsid w:val="002438D7"/>
    <w:rsid w:val="00254A33"/>
    <w:rsid w:val="00255646"/>
    <w:rsid w:val="00280E07"/>
    <w:rsid w:val="00281974"/>
    <w:rsid w:val="002911D8"/>
    <w:rsid w:val="002A4165"/>
    <w:rsid w:val="002B4049"/>
    <w:rsid w:val="002B6BE2"/>
    <w:rsid w:val="002E2461"/>
    <w:rsid w:val="002E476D"/>
    <w:rsid w:val="00300421"/>
    <w:rsid w:val="003118D5"/>
    <w:rsid w:val="00311FF1"/>
    <w:rsid w:val="00313CCD"/>
    <w:rsid w:val="00314C4E"/>
    <w:rsid w:val="0032796F"/>
    <w:rsid w:val="003401E6"/>
    <w:rsid w:val="00344BA9"/>
    <w:rsid w:val="00351917"/>
    <w:rsid w:val="0036742E"/>
    <w:rsid w:val="00373842"/>
    <w:rsid w:val="00374625"/>
    <w:rsid w:val="0038274E"/>
    <w:rsid w:val="00383894"/>
    <w:rsid w:val="003919E9"/>
    <w:rsid w:val="00394347"/>
    <w:rsid w:val="003B29F5"/>
    <w:rsid w:val="003C1AE0"/>
    <w:rsid w:val="003C4380"/>
    <w:rsid w:val="003F2246"/>
    <w:rsid w:val="003F33E0"/>
    <w:rsid w:val="003F3D39"/>
    <w:rsid w:val="003F5B5E"/>
    <w:rsid w:val="004108C1"/>
    <w:rsid w:val="00415C3C"/>
    <w:rsid w:val="00422C07"/>
    <w:rsid w:val="004330C7"/>
    <w:rsid w:val="00436003"/>
    <w:rsid w:val="00443407"/>
    <w:rsid w:val="00451B8F"/>
    <w:rsid w:val="00460B72"/>
    <w:rsid w:val="00464C67"/>
    <w:rsid w:val="00470060"/>
    <w:rsid w:val="004720C8"/>
    <w:rsid w:val="004728D9"/>
    <w:rsid w:val="004830B5"/>
    <w:rsid w:val="004A1D87"/>
    <w:rsid w:val="004A5F5D"/>
    <w:rsid w:val="004B34D3"/>
    <w:rsid w:val="004B3AF9"/>
    <w:rsid w:val="004B4592"/>
    <w:rsid w:val="004B5EEB"/>
    <w:rsid w:val="004C6275"/>
    <w:rsid w:val="004E5ED3"/>
    <w:rsid w:val="004E74F6"/>
    <w:rsid w:val="004F65E3"/>
    <w:rsid w:val="004F79A0"/>
    <w:rsid w:val="00506064"/>
    <w:rsid w:val="00511128"/>
    <w:rsid w:val="00515E25"/>
    <w:rsid w:val="00520391"/>
    <w:rsid w:val="00522CCD"/>
    <w:rsid w:val="0052508F"/>
    <w:rsid w:val="005358FB"/>
    <w:rsid w:val="00545F35"/>
    <w:rsid w:val="005503D9"/>
    <w:rsid w:val="00551187"/>
    <w:rsid w:val="00576CF0"/>
    <w:rsid w:val="00577677"/>
    <w:rsid w:val="00580C9E"/>
    <w:rsid w:val="005828E5"/>
    <w:rsid w:val="005879FB"/>
    <w:rsid w:val="005933F1"/>
    <w:rsid w:val="00593E26"/>
    <w:rsid w:val="005A39EE"/>
    <w:rsid w:val="005A45FB"/>
    <w:rsid w:val="005B5093"/>
    <w:rsid w:val="005B6A37"/>
    <w:rsid w:val="005B7D1D"/>
    <w:rsid w:val="005D392D"/>
    <w:rsid w:val="005D55F8"/>
    <w:rsid w:val="005E0871"/>
    <w:rsid w:val="005E0999"/>
    <w:rsid w:val="005E3F64"/>
    <w:rsid w:val="005E68E7"/>
    <w:rsid w:val="005F29B1"/>
    <w:rsid w:val="005F4AF8"/>
    <w:rsid w:val="00615BAF"/>
    <w:rsid w:val="0061621C"/>
    <w:rsid w:val="00621993"/>
    <w:rsid w:val="00622AC5"/>
    <w:rsid w:val="00661880"/>
    <w:rsid w:val="0066639B"/>
    <w:rsid w:val="00667436"/>
    <w:rsid w:val="006765A7"/>
    <w:rsid w:val="006817D9"/>
    <w:rsid w:val="0068543B"/>
    <w:rsid w:val="0069127D"/>
    <w:rsid w:val="006A32D5"/>
    <w:rsid w:val="006B2354"/>
    <w:rsid w:val="006B69E1"/>
    <w:rsid w:val="006C37C0"/>
    <w:rsid w:val="006C650A"/>
    <w:rsid w:val="006C7DAE"/>
    <w:rsid w:val="006D531C"/>
    <w:rsid w:val="00706C49"/>
    <w:rsid w:val="0071246C"/>
    <w:rsid w:val="00721CFF"/>
    <w:rsid w:val="0072279F"/>
    <w:rsid w:val="007326DF"/>
    <w:rsid w:val="00742665"/>
    <w:rsid w:val="00742F33"/>
    <w:rsid w:val="00753D76"/>
    <w:rsid w:val="00771025"/>
    <w:rsid w:val="007A0D92"/>
    <w:rsid w:val="007C135A"/>
    <w:rsid w:val="007C6BFB"/>
    <w:rsid w:val="007F6433"/>
    <w:rsid w:val="00800BC3"/>
    <w:rsid w:val="008011EC"/>
    <w:rsid w:val="008158CF"/>
    <w:rsid w:val="008216DA"/>
    <w:rsid w:val="008332E7"/>
    <w:rsid w:val="00835E47"/>
    <w:rsid w:val="00842DCD"/>
    <w:rsid w:val="00850C1E"/>
    <w:rsid w:val="00854966"/>
    <w:rsid w:val="008622D5"/>
    <w:rsid w:val="00887447"/>
    <w:rsid w:val="008979C0"/>
    <w:rsid w:val="008A620D"/>
    <w:rsid w:val="008D076C"/>
    <w:rsid w:val="008D5837"/>
    <w:rsid w:val="008D6774"/>
    <w:rsid w:val="008F1132"/>
    <w:rsid w:val="008F38BA"/>
    <w:rsid w:val="00904AA8"/>
    <w:rsid w:val="00912CEE"/>
    <w:rsid w:val="00920370"/>
    <w:rsid w:val="00927A75"/>
    <w:rsid w:val="00963414"/>
    <w:rsid w:val="00963677"/>
    <w:rsid w:val="00986A04"/>
    <w:rsid w:val="009A622A"/>
    <w:rsid w:val="009B3C34"/>
    <w:rsid w:val="009E0467"/>
    <w:rsid w:val="009E325B"/>
    <w:rsid w:val="009E6C76"/>
    <w:rsid w:val="009F3F6A"/>
    <w:rsid w:val="009F77E5"/>
    <w:rsid w:val="00A01CA4"/>
    <w:rsid w:val="00A06A41"/>
    <w:rsid w:val="00A116D4"/>
    <w:rsid w:val="00A1614B"/>
    <w:rsid w:val="00A20D9F"/>
    <w:rsid w:val="00A230CF"/>
    <w:rsid w:val="00A305B2"/>
    <w:rsid w:val="00A420A9"/>
    <w:rsid w:val="00A62C10"/>
    <w:rsid w:val="00A63EE8"/>
    <w:rsid w:val="00A67A48"/>
    <w:rsid w:val="00A710FB"/>
    <w:rsid w:val="00A71CF1"/>
    <w:rsid w:val="00A83F6C"/>
    <w:rsid w:val="00A86B2F"/>
    <w:rsid w:val="00A94ACF"/>
    <w:rsid w:val="00A95916"/>
    <w:rsid w:val="00AA7061"/>
    <w:rsid w:val="00AB031E"/>
    <w:rsid w:val="00AB08C3"/>
    <w:rsid w:val="00AB3083"/>
    <w:rsid w:val="00AB7731"/>
    <w:rsid w:val="00AC5A6F"/>
    <w:rsid w:val="00B0388D"/>
    <w:rsid w:val="00B20F82"/>
    <w:rsid w:val="00B23D6F"/>
    <w:rsid w:val="00B27B3A"/>
    <w:rsid w:val="00B3112A"/>
    <w:rsid w:val="00B35C21"/>
    <w:rsid w:val="00B5484A"/>
    <w:rsid w:val="00B65892"/>
    <w:rsid w:val="00B674E4"/>
    <w:rsid w:val="00B730C4"/>
    <w:rsid w:val="00B76260"/>
    <w:rsid w:val="00B82822"/>
    <w:rsid w:val="00B9558E"/>
    <w:rsid w:val="00B970F2"/>
    <w:rsid w:val="00BA3DCF"/>
    <w:rsid w:val="00BA68D0"/>
    <w:rsid w:val="00BC0AB9"/>
    <w:rsid w:val="00BD5C1D"/>
    <w:rsid w:val="00BD6794"/>
    <w:rsid w:val="00BF1884"/>
    <w:rsid w:val="00C0526C"/>
    <w:rsid w:val="00C12537"/>
    <w:rsid w:val="00C51D00"/>
    <w:rsid w:val="00C63CAE"/>
    <w:rsid w:val="00C7046A"/>
    <w:rsid w:val="00CA54A9"/>
    <w:rsid w:val="00CA74EF"/>
    <w:rsid w:val="00CA7F06"/>
    <w:rsid w:val="00CB1DB9"/>
    <w:rsid w:val="00CD66C5"/>
    <w:rsid w:val="00CD7290"/>
    <w:rsid w:val="00CF2041"/>
    <w:rsid w:val="00CF3564"/>
    <w:rsid w:val="00D0709E"/>
    <w:rsid w:val="00D12722"/>
    <w:rsid w:val="00D23211"/>
    <w:rsid w:val="00D3453F"/>
    <w:rsid w:val="00D37F9A"/>
    <w:rsid w:val="00D434C6"/>
    <w:rsid w:val="00D52795"/>
    <w:rsid w:val="00D63111"/>
    <w:rsid w:val="00D66100"/>
    <w:rsid w:val="00D92EAC"/>
    <w:rsid w:val="00D97037"/>
    <w:rsid w:val="00DA1B95"/>
    <w:rsid w:val="00DA1FD3"/>
    <w:rsid w:val="00DA41F0"/>
    <w:rsid w:val="00DB613B"/>
    <w:rsid w:val="00DB740E"/>
    <w:rsid w:val="00DB797E"/>
    <w:rsid w:val="00DC13FE"/>
    <w:rsid w:val="00DE36B9"/>
    <w:rsid w:val="00DE396D"/>
    <w:rsid w:val="00DE41A3"/>
    <w:rsid w:val="00E00714"/>
    <w:rsid w:val="00E04822"/>
    <w:rsid w:val="00E05959"/>
    <w:rsid w:val="00E12ADB"/>
    <w:rsid w:val="00E418E6"/>
    <w:rsid w:val="00E47BE7"/>
    <w:rsid w:val="00E56882"/>
    <w:rsid w:val="00E6162F"/>
    <w:rsid w:val="00E64953"/>
    <w:rsid w:val="00E712F3"/>
    <w:rsid w:val="00E75287"/>
    <w:rsid w:val="00E9319B"/>
    <w:rsid w:val="00EA40B4"/>
    <w:rsid w:val="00EB10FD"/>
    <w:rsid w:val="00EB273C"/>
    <w:rsid w:val="00ED1017"/>
    <w:rsid w:val="00EF0E16"/>
    <w:rsid w:val="00F03DF2"/>
    <w:rsid w:val="00F05DE4"/>
    <w:rsid w:val="00F06F6A"/>
    <w:rsid w:val="00F13CE8"/>
    <w:rsid w:val="00F30A39"/>
    <w:rsid w:val="00F32BB7"/>
    <w:rsid w:val="00F36015"/>
    <w:rsid w:val="00F5256C"/>
    <w:rsid w:val="00F65FCD"/>
    <w:rsid w:val="00F6753D"/>
    <w:rsid w:val="00F73D41"/>
    <w:rsid w:val="00F800D9"/>
    <w:rsid w:val="00F85B26"/>
    <w:rsid w:val="00F87E9A"/>
    <w:rsid w:val="00F9265F"/>
    <w:rsid w:val="00F93525"/>
    <w:rsid w:val="00F97E35"/>
    <w:rsid w:val="00FC4394"/>
    <w:rsid w:val="00FC5214"/>
    <w:rsid w:val="00FC7907"/>
    <w:rsid w:val="00FE425D"/>
    <w:rsid w:val="01466D4E"/>
    <w:rsid w:val="03FF1417"/>
    <w:rsid w:val="04552AC9"/>
    <w:rsid w:val="05487FFF"/>
    <w:rsid w:val="08B45D6B"/>
    <w:rsid w:val="09997811"/>
    <w:rsid w:val="09FA0F19"/>
    <w:rsid w:val="0EEF74CB"/>
    <w:rsid w:val="124633CB"/>
    <w:rsid w:val="1AC01E93"/>
    <w:rsid w:val="1D856A15"/>
    <w:rsid w:val="1F3850B5"/>
    <w:rsid w:val="232523EA"/>
    <w:rsid w:val="23744FF2"/>
    <w:rsid w:val="28815E8D"/>
    <w:rsid w:val="28EC2D9D"/>
    <w:rsid w:val="29CD41DE"/>
    <w:rsid w:val="2B831933"/>
    <w:rsid w:val="33A96B76"/>
    <w:rsid w:val="34E57E56"/>
    <w:rsid w:val="368F288C"/>
    <w:rsid w:val="36CD010D"/>
    <w:rsid w:val="383E3079"/>
    <w:rsid w:val="38D52EB5"/>
    <w:rsid w:val="390A1CC4"/>
    <w:rsid w:val="397E66F5"/>
    <w:rsid w:val="3A2D0FFB"/>
    <w:rsid w:val="3C6F593E"/>
    <w:rsid w:val="3ED30010"/>
    <w:rsid w:val="42325D29"/>
    <w:rsid w:val="453257D1"/>
    <w:rsid w:val="46D96645"/>
    <w:rsid w:val="4788401D"/>
    <w:rsid w:val="48270BD4"/>
    <w:rsid w:val="48796E4C"/>
    <w:rsid w:val="49AF6BD4"/>
    <w:rsid w:val="49C355AB"/>
    <w:rsid w:val="4C360270"/>
    <w:rsid w:val="4C7C12F1"/>
    <w:rsid w:val="4CA66EC5"/>
    <w:rsid w:val="4DA23685"/>
    <w:rsid w:val="50AE496B"/>
    <w:rsid w:val="54C51B45"/>
    <w:rsid w:val="54E926BB"/>
    <w:rsid w:val="58CA5B3A"/>
    <w:rsid w:val="5B874233"/>
    <w:rsid w:val="6395449B"/>
    <w:rsid w:val="642E04BF"/>
    <w:rsid w:val="657C4D3A"/>
    <w:rsid w:val="66767553"/>
    <w:rsid w:val="6753278E"/>
    <w:rsid w:val="682061B3"/>
    <w:rsid w:val="6A557219"/>
    <w:rsid w:val="6B2F4D94"/>
    <w:rsid w:val="6B4E50E2"/>
    <w:rsid w:val="6CED7120"/>
    <w:rsid w:val="73FB512C"/>
    <w:rsid w:val="792E497A"/>
    <w:rsid w:val="79D020E1"/>
    <w:rsid w:val="7C724FAB"/>
    <w:rsid w:val="7F81002A"/>
  </w:rsids>
  <m:mathPr>
    <m:mathFont m:val="Cambria Math"/>
    <m:brkBin m:val="before"/>
    <m:brkBinSub m:val="--"/>
    <m:smallFrac m:val="1"/>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link w:val="29"/>
    <w:qFormat/>
    <w:uiPriority w:val="9"/>
    <w:pPr>
      <w:keepNext/>
      <w:keepLines/>
      <w:spacing w:before="120" w:after="120" w:line="360" w:lineRule="auto"/>
      <w:outlineLvl w:val="0"/>
    </w:pPr>
    <w:rPr>
      <w:rFonts w:cs="Menk Qagan Tig"/>
      <w:b/>
      <w:bCs/>
      <w:kern w:val="44"/>
      <w:sz w:val="24"/>
      <w:szCs w:val="56"/>
      <w:lang w:bidi="mn-Mong-CN"/>
    </w:rPr>
  </w:style>
  <w:style w:type="paragraph" w:styleId="3">
    <w:name w:val="heading 2"/>
    <w:basedOn w:val="1"/>
    <w:next w:val="1"/>
    <w:link w:val="30"/>
    <w:qFormat/>
    <w:uiPriority w:val="9"/>
    <w:pPr>
      <w:keepNext/>
      <w:keepLines/>
      <w:spacing w:line="360" w:lineRule="auto"/>
      <w:outlineLvl w:val="1"/>
    </w:pPr>
    <w:rPr>
      <w:rFonts w:ascii="Cambria" w:hAnsi="Cambria"/>
      <w:b/>
      <w:bCs/>
      <w:sz w:val="24"/>
      <w:szCs w:val="40"/>
      <w:lang w:bidi="mn-Mong-CN"/>
    </w:rPr>
  </w:style>
  <w:style w:type="paragraph" w:styleId="4">
    <w:name w:val="heading 3"/>
    <w:basedOn w:val="1"/>
    <w:next w:val="1"/>
    <w:link w:val="37"/>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ascii="Arial" w:hAnsi="Arial" w:eastAsia="黑体" w:cstheme="minorBidi"/>
      <w:sz w:val="20"/>
      <w:szCs w:val="24"/>
    </w:rPr>
  </w:style>
  <w:style w:type="paragraph" w:styleId="6">
    <w:name w:val="annotation text"/>
    <w:basedOn w:val="1"/>
    <w:link w:val="35"/>
    <w:semiHidden/>
    <w:unhideWhenUsed/>
    <w:uiPriority w:val="99"/>
    <w:pPr>
      <w:jc w:val="left"/>
    </w:pPr>
  </w:style>
  <w:style w:type="paragraph" w:styleId="7">
    <w:name w:val="Date"/>
    <w:basedOn w:val="1"/>
    <w:next w:val="1"/>
    <w:link w:val="24"/>
    <w:qFormat/>
    <w:uiPriority w:val="99"/>
    <w:pPr>
      <w:ind w:left="100" w:leftChars="2500"/>
    </w:pPr>
  </w:style>
  <w:style w:type="paragraph" w:styleId="8">
    <w:name w:val="Balloon Text"/>
    <w:basedOn w:val="1"/>
    <w:link w:val="28"/>
    <w:qFormat/>
    <w:uiPriority w:val="99"/>
    <w:rPr>
      <w:sz w:val="18"/>
      <w:szCs w:val="18"/>
    </w:rPr>
  </w:style>
  <w:style w:type="paragraph" w:styleId="9">
    <w:name w:val="footer"/>
    <w:basedOn w:val="1"/>
    <w:link w:val="34"/>
    <w:qFormat/>
    <w:uiPriority w:val="99"/>
    <w:pPr>
      <w:tabs>
        <w:tab w:val="center" w:pos="4153"/>
        <w:tab w:val="right" w:pos="8306"/>
      </w:tabs>
      <w:snapToGrid w:val="0"/>
      <w:jc w:val="left"/>
    </w:pPr>
    <w:rPr>
      <w:sz w:val="18"/>
      <w:szCs w:val="18"/>
    </w:rPr>
  </w:style>
  <w:style w:type="paragraph" w:styleId="10">
    <w:name w:val="header"/>
    <w:basedOn w:val="1"/>
    <w:link w:val="33"/>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kern w:val="0"/>
      <w:sz w:val="24"/>
      <w:szCs w:val="24"/>
    </w:rPr>
  </w:style>
  <w:style w:type="paragraph" w:styleId="12">
    <w:name w:val="annotation subject"/>
    <w:basedOn w:val="6"/>
    <w:next w:val="6"/>
    <w:link w:val="36"/>
    <w:semiHidden/>
    <w:unhideWhenUsed/>
    <w:uiPriority w:val="99"/>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FollowedHyperlink"/>
    <w:basedOn w:val="15"/>
    <w:semiHidden/>
    <w:unhideWhenUsed/>
    <w:uiPriority w:val="99"/>
    <w:rPr>
      <w:color w:val="296FBE"/>
      <w:u w:val="none"/>
    </w:rPr>
  </w:style>
  <w:style w:type="character" w:styleId="17">
    <w:name w:val="Emphasis"/>
    <w:basedOn w:val="15"/>
    <w:qFormat/>
    <w:uiPriority w:val="20"/>
  </w:style>
  <w:style w:type="character" w:styleId="18">
    <w:name w:val="HTML Definition"/>
    <w:basedOn w:val="15"/>
    <w:semiHidden/>
    <w:unhideWhenUsed/>
    <w:uiPriority w:val="99"/>
  </w:style>
  <w:style w:type="character" w:styleId="19">
    <w:name w:val="HTML Variable"/>
    <w:basedOn w:val="15"/>
    <w:semiHidden/>
    <w:unhideWhenUsed/>
    <w:uiPriority w:val="99"/>
  </w:style>
  <w:style w:type="character" w:styleId="20">
    <w:name w:val="Hyperlink"/>
    <w:basedOn w:val="15"/>
    <w:semiHidden/>
    <w:unhideWhenUsed/>
    <w:uiPriority w:val="99"/>
    <w:rPr>
      <w:color w:val="296FBE"/>
      <w:u w:val="none"/>
    </w:rPr>
  </w:style>
  <w:style w:type="character" w:styleId="21">
    <w:name w:val="HTML Code"/>
    <w:basedOn w:val="15"/>
    <w:semiHidden/>
    <w:unhideWhenUsed/>
    <w:uiPriority w:val="99"/>
    <w:rPr>
      <w:rFonts w:hint="eastAsia" w:ascii="微软雅黑" w:hAnsi="微软雅黑" w:eastAsia="微软雅黑" w:cs="微软雅黑"/>
      <w:sz w:val="18"/>
      <w:szCs w:val="18"/>
      <w:bdr w:val="none" w:color="auto" w:sz="0" w:space="0"/>
    </w:rPr>
  </w:style>
  <w:style w:type="character" w:styleId="22">
    <w:name w:val="annotation reference"/>
    <w:basedOn w:val="15"/>
    <w:semiHidden/>
    <w:unhideWhenUsed/>
    <w:qFormat/>
    <w:uiPriority w:val="99"/>
    <w:rPr>
      <w:sz w:val="21"/>
      <w:szCs w:val="21"/>
    </w:rPr>
  </w:style>
  <w:style w:type="character" w:styleId="23">
    <w:name w:val="HTML Cite"/>
    <w:basedOn w:val="15"/>
    <w:semiHidden/>
    <w:unhideWhenUsed/>
    <w:uiPriority w:val="99"/>
  </w:style>
  <w:style w:type="character" w:customStyle="1" w:styleId="24">
    <w:name w:val="日期 Char"/>
    <w:basedOn w:val="15"/>
    <w:link w:val="7"/>
    <w:qFormat/>
    <w:uiPriority w:val="99"/>
  </w:style>
  <w:style w:type="paragraph" w:styleId="25">
    <w:name w:val="List Paragraph"/>
    <w:basedOn w:val="1"/>
    <w:qFormat/>
    <w:uiPriority w:val="34"/>
    <w:pPr>
      <w:ind w:firstLine="420" w:firstLineChars="200"/>
    </w:pPr>
  </w:style>
  <w:style w:type="character" w:customStyle="1" w:styleId="26">
    <w:name w:val="font11"/>
    <w:basedOn w:val="15"/>
    <w:qFormat/>
    <w:uiPriority w:val="0"/>
    <w:rPr>
      <w:rFonts w:hint="eastAsia" w:ascii="宋体" w:hAnsi="宋体" w:eastAsia="宋体" w:cs="宋体"/>
      <w:color w:val="000000"/>
      <w:sz w:val="20"/>
      <w:szCs w:val="20"/>
      <w:u w:val="none"/>
    </w:rPr>
  </w:style>
  <w:style w:type="character" w:customStyle="1" w:styleId="27">
    <w:name w:val="font01"/>
    <w:basedOn w:val="15"/>
    <w:qFormat/>
    <w:uiPriority w:val="0"/>
    <w:rPr>
      <w:rFonts w:hint="default" w:ascii="Arial" w:hAnsi="Arial" w:cs="Arial"/>
      <w:color w:val="000000"/>
      <w:sz w:val="20"/>
      <w:szCs w:val="20"/>
      <w:u w:val="none"/>
    </w:rPr>
  </w:style>
  <w:style w:type="character" w:customStyle="1" w:styleId="28">
    <w:name w:val="批注框文本 Char"/>
    <w:basedOn w:val="15"/>
    <w:link w:val="8"/>
    <w:qFormat/>
    <w:uiPriority w:val="99"/>
    <w:rPr>
      <w:sz w:val="18"/>
      <w:szCs w:val="18"/>
    </w:rPr>
  </w:style>
  <w:style w:type="character" w:customStyle="1" w:styleId="29">
    <w:name w:val="标题 1 Char"/>
    <w:basedOn w:val="15"/>
    <w:link w:val="2"/>
    <w:qFormat/>
    <w:uiPriority w:val="9"/>
    <w:rPr>
      <w:rFonts w:cs="Menk Qagan Tig"/>
      <w:b/>
      <w:bCs/>
      <w:kern w:val="44"/>
      <w:sz w:val="24"/>
      <w:szCs w:val="56"/>
      <w:lang w:bidi="mn-Mong-CN"/>
    </w:rPr>
  </w:style>
  <w:style w:type="character" w:customStyle="1" w:styleId="30">
    <w:name w:val="标题 2 Char"/>
    <w:basedOn w:val="15"/>
    <w:link w:val="3"/>
    <w:qFormat/>
    <w:uiPriority w:val="9"/>
    <w:rPr>
      <w:rFonts w:ascii="Cambria" w:hAnsi="Cambria" w:eastAsia="宋体" w:cs="宋体"/>
      <w:b/>
      <w:bCs/>
      <w:sz w:val="24"/>
      <w:szCs w:val="40"/>
      <w:lang w:bidi="mn-Mong-CN"/>
    </w:rPr>
  </w:style>
  <w:style w:type="paragraph" w:styleId="31">
    <w:name w:val="No Spacing"/>
    <w:link w:val="32"/>
    <w:qFormat/>
    <w:uiPriority w:val="1"/>
    <w:rPr>
      <w:rFonts w:ascii="Calibri" w:hAnsi="Calibri" w:eastAsia="宋体" w:cs="宋体"/>
      <w:sz w:val="22"/>
      <w:szCs w:val="22"/>
      <w:lang w:val="en-US" w:eastAsia="zh-CN" w:bidi="mn-Mong-CN"/>
    </w:rPr>
  </w:style>
  <w:style w:type="character" w:customStyle="1" w:styleId="32">
    <w:name w:val="无间隔 Char"/>
    <w:basedOn w:val="15"/>
    <w:link w:val="31"/>
    <w:qFormat/>
    <w:uiPriority w:val="1"/>
    <w:rPr>
      <w:kern w:val="0"/>
      <w:sz w:val="22"/>
      <w:lang w:bidi="mn-Mong-CN"/>
    </w:rPr>
  </w:style>
  <w:style w:type="character" w:customStyle="1" w:styleId="33">
    <w:name w:val="页眉 Char"/>
    <w:basedOn w:val="15"/>
    <w:link w:val="10"/>
    <w:qFormat/>
    <w:uiPriority w:val="99"/>
    <w:rPr>
      <w:sz w:val="18"/>
      <w:szCs w:val="18"/>
    </w:rPr>
  </w:style>
  <w:style w:type="character" w:customStyle="1" w:styleId="34">
    <w:name w:val="页脚 Char"/>
    <w:basedOn w:val="15"/>
    <w:link w:val="9"/>
    <w:qFormat/>
    <w:uiPriority w:val="99"/>
    <w:rPr>
      <w:sz w:val="18"/>
      <w:szCs w:val="18"/>
    </w:rPr>
  </w:style>
  <w:style w:type="character" w:customStyle="1" w:styleId="35">
    <w:name w:val="批注文字 Char"/>
    <w:basedOn w:val="15"/>
    <w:link w:val="6"/>
    <w:semiHidden/>
    <w:uiPriority w:val="99"/>
    <w:rPr>
      <w:kern w:val="2"/>
      <w:sz w:val="21"/>
      <w:szCs w:val="22"/>
    </w:rPr>
  </w:style>
  <w:style w:type="character" w:customStyle="1" w:styleId="36">
    <w:name w:val="批注主题 Char"/>
    <w:basedOn w:val="35"/>
    <w:link w:val="12"/>
    <w:semiHidden/>
    <w:qFormat/>
    <w:uiPriority w:val="99"/>
    <w:rPr>
      <w:b/>
      <w:bCs/>
      <w:kern w:val="2"/>
      <w:sz w:val="21"/>
      <w:szCs w:val="22"/>
    </w:rPr>
  </w:style>
  <w:style w:type="character" w:customStyle="1" w:styleId="37">
    <w:name w:val="标题 3 Char"/>
    <w:basedOn w:val="15"/>
    <w:link w:val="4"/>
    <w:qFormat/>
    <w:uiPriority w:val="9"/>
    <w:rPr>
      <w:b/>
      <w:bCs/>
      <w:kern w:val="2"/>
      <w:sz w:val="32"/>
      <w:szCs w:val="32"/>
    </w:rPr>
  </w:style>
  <w:style w:type="paragraph" w:customStyle="1" w:styleId="38">
    <w:name w:val="_Style 36"/>
    <w:basedOn w:val="1"/>
    <w:next w:val="1"/>
    <w:qFormat/>
    <w:uiPriority w:val="0"/>
    <w:pPr>
      <w:pBdr>
        <w:bottom w:val="single" w:color="auto" w:sz="6" w:space="1"/>
      </w:pBdr>
      <w:jc w:val="center"/>
    </w:pPr>
    <w:rPr>
      <w:rFonts w:ascii="Arial"/>
      <w:vanish/>
      <w:sz w:val="16"/>
    </w:rPr>
  </w:style>
  <w:style w:type="character" w:customStyle="1" w:styleId="39">
    <w:name w:val="ico1654"/>
    <w:basedOn w:val="15"/>
    <w:uiPriority w:val="0"/>
  </w:style>
  <w:style w:type="character" w:customStyle="1" w:styleId="40">
    <w:name w:val="drapbtn"/>
    <w:basedOn w:val="15"/>
    <w:uiPriority w:val="0"/>
  </w:style>
  <w:style w:type="character" w:customStyle="1" w:styleId="41">
    <w:name w:val="layui-layer-tabnow"/>
    <w:basedOn w:val="15"/>
    <w:uiPriority w:val="0"/>
    <w:rPr>
      <w:bdr w:val="single" w:color="CCCCCC" w:sz="6" w:space="0"/>
      <w:shd w:val="clear" w:fill="FFFFFF"/>
    </w:rPr>
  </w:style>
  <w:style w:type="character" w:customStyle="1" w:styleId="42">
    <w:name w:val="first-child"/>
    <w:basedOn w:val="15"/>
    <w:uiPriority w:val="0"/>
    <w:rPr>
      <w:bdr w:val="none" w:color="auto" w:sz="0" w:space="0"/>
    </w:rPr>
  </w:style>
  <w:style w:type="character" w:customStyle="1" w:styleId="43">
    <w:name w:val="active5"/>
    <w:basedOn w:val="15"/>
    <w:uiPriority w:val="0"/>
    <w:rPr>
      <w:color w:val="00FF00"/>
      <w:bdr w:val="none" w:color="FF0000" w:sz="0" w:space="0"/>
      <w:shd w:val="clear" w:fill="111111"/>
    </w:rPr>
  </w:style>
  <w:style w:type="character" w:customStyle="1" w:styleId="44">
    <w:name w:val="icontext1"/>
    <w:basedOn w:val="15"/>
    <w:uiPriority w:val="0"/>
  </w:style>
  <w:style w:type="character" w:customStyle="1" w:styleId="45">
    <w:name w:val="icontext11"/>
    <w:basedOn w:val="15"/>
    <w:uiPriority w:val="0"/>
  </w:style>
  <w:style w:type="character" w:customStyle="1" w:styleId="46">
    <w:name w:val="left2"/>
    <w:basedOn w:val="15"/>
    <w:uiPriority w:val="0"/>
    <w:rPr>
      <w:color w:val="666666"/>
      <w:sz w:val="21"/>
      <w:szCs w:val="21"/>
    </w:rPr>
  </w:style>
  <w:style w:type="character" w:customStyle="1" w:styleId="47">
    <w:name w:val="choosename"/>
    <w:basedOn w:val="15"/>
    <w:uiPriority w:val="0"/>
  </w:style>
  <w:style w:type="character" w:customStyle="1" w:styleId="48">
    <w:name w:val="after"/>
    <w:basedOn w:val="15"/>
    <w:uiPriority w:val="0"/>
    <w:rPr>
      <w:sz w:val="0"/>
      <w:szCs w:val="0"/>
    </w:rPr>
  </w:style>
  <w:style w:type="character" w:customStyle="1" w:styleId="49">
    <w:name w:val="iconline2"/>
    <w:basedOn w:val="15"/>
    <w:uiPriority w:val="0"/>
  </w:style>
  <w:style w:type="character" w:customStyle="1" w:styleId="50">
    <w:name w:val="iconline21"/>
    <w:basedOn w:val="15"/>
    <w:uiPriority w:val="0"/>
  </w:style>
  <w:style w:type="character" w:customStyle="1" w:styleId="51">
    <w:name w:val="icontext3"/>
    <w:basedOn w:val="15"/>
    <w:uiPriority w:val="0"/>
  </w:style>
  <w:style w:type="character" w:customStyle="1" w:styleId="52">
    <w:name w:val="icontext2"/>
    <w:basedOn w:val="15"/>
    <w:uiPriority w:val="0"/>
  </w:style>
  <w:style w:type="character" w:customStyle="1" w:styleId="53">
    <w:name w:val="cy"/>
    <w:basedOn w:val="15"/>
    <w:uiPriority w:val="0"/>
  </w:style>
  <w:style w:type="character" w:customStyle="1" w:styleId="54">
    <w:name w:val="associateddata"/>
    <w:basedOn w:val="15"/>
    <w:uiPriority w:val="0"/>
    <w:rPr>
      <w:shd w:val="clear" w:fill="50A6F9"/>
    </w:rPr>
  </w:style>
  <w:style w:type="character" w:customStyle="1" w:styleId="55">
    <w:name w:val="pagechatarealistclose_box"/>
    <w:basedOn w:val="15"/>
    <w:uiPriority w:val="0"/>
  </w:style>
  <w:style w:type="character" w:customStyle="1" w:styleId="56">
    <w:name w:val="pagechatarealistclose_box1"/>
    <w:basedOn w:val="15"/>
    <w:uiPriority w:val="0"/>
  </w:style>
  <w:style w:type="character" w:customStyle="1" w:styleId="57">
    <w:name w:val="button2"/>
    <w:basedOn w:val="15"/>
    <w:uiPriority w:val="0"/>
  </w:style>
  <w:style w:type="character" w:customStyle="1" w:styleId="58">
    <w:name w:val="cdropleft"/>
    <w:basedOn w:val="15"/>
    <w:uiPriority w:val="0"/>
  </w:style>
  <w:style w:type="character" w:customStyle="1" w:styleId="59">
    <w:name w:val="hover42"/>
    <w:basedOn w:val="15"/>
    <w:uiPriority w:val="0"/>
    <w:rPr>
      <w:color w:val="FF3126"/>
    </w:rPr>
  </w:style>
  <w:style w:type="character" w:customStyle="1" w:styleId="60">
    <w:name w:val="hover43"/>
    <w:basedOn w:val="15"/>
    <w:uiPriority w:val="0"/>
    <w:rPr>
      <w:color w:val="FFFFFF"/>
    </w:rPr>
  </w:style>
  <w:style w:type="character" w:customStyle="1" w:styleId="61">
    <w:name w:val="hilite"/>
    <w:basedOn w:val="15"/>
    <w:uiPriority w:val="0"/>
    <w:rPr>
      <w:color w:val="FFFFFF"/>
      <w:bdr w:val="none" w:color="111111" w:sz="0" w:space="0"/>
      <w:shd w:val="clear" w:fill="666666"/>
    </w:rPr>
  </w:style>
  <w:style w:type="character" w:customStyle="1" w:styleId="62">
    <w:name w:val="tmpztreemove_arrow"/>
    <w:basedOn w:val="15"/>
    <w:uiPriority w:val="0"/>
  </w:style>
  <w:style w:type="character" w:customStyle="1" w:styleId="63">
    <w:name w:val="cdropright"/>
    <w:basedOn w:val="15"/>
    <w:uiPriority w:val="0"/>
  </w:style>
  <w:style w:type="character" w:customStyle="1" w:styleId="64">
    <w:name w:val="w32"/>
    <w:basedOn w:val="15"/>
    <w:uiPriority w:val="0"/>
  </w:style>
  <w:style w:type="character" w:customStyle="1" w:styleId="65">
    <w:name w:val="active"/>
    <w:basedOn w:val="15"/>
    <w:uiPriority w:val="0"/>
    <w:rPr>
      <w:color w:val="00FF00"/>
      <w:bdr w:val="none" w:color="FF0000" w:sz="0" w:space="0"/>
      <w:shd w:val="clear" w:fill="111111"/>
    </w:rPr>
  </w:style>
  <w:style w:type="character" w:customStyle="1" w:styleId="66">
    <w:name w:val="hover"/>
    <w:basedOn w:val="15"/>
    <w:uiPriority w:val="0"/>
    <w:rPr>
      <w:color w:val="FF3126"/>
    </w:rPr>
  </w:style>
  <w:style w:type="character" w:customStyle="1" w:styleId="67">
    <w:name w:val="hover1"/>
    <w:basedOn w:val="15"/>
    <w:uiPriority w:val="0"/>
    <w:rPr>
      <w:color w:val="FFFFFF"/>
    </w:rPr>
  </w:style>
  <w:style w:type="character" w:customStyle="1" w:styleId="68">
    <w:name w:val="hilite4"/>
    <w:basedOn w:val="15"/>
    <w:uiPriority w:val="0"/>
    <w:rPr>
      <w:color w:val="FFFFFF"/>
      <w:bdr w:val="none" w:color="111111" w:sz="0" w:space="0"/>
      <w:shd w:val="clear" w:fill="666666"/>
    </w:rPr>
  </w:style>
  <w:style w:type="character" w:customStyle="1" w:styleId="69">
    <w:name w:val="icontext12"/>
    <w:basedOn w:val="15"/>
    <w:uiPriority w:val="0"/>
  </w:style>
  <w:style w:type="character" w:customStyle="1" w:styleId="70">
    <w:name w:val="button6"/>
    <w:basedOn w:val="15"/>
    <w:uiPriority w:val="0"/>
  </w:style>
  <w:style w:type="character" w:customStyle="1" w:styleId="71">
    <w:name w:val="ico16"/>
    <w:basedOn w:val="15"/>
    <w:uiPriority w:val="0"/>
  </w:style>
  <w:style w:type="character" w:customStyle="1" w:styleId="72">
    <w:name w:val="ico161"/>
    <w:basedOn w:val="15"/>
    <w:uiPriority w:val="0"/>
  </w:style>
  <w:style w:type="character" w:customStyle="1" w:styleId="73">
    <w:name w:val="button"/>
    <w:basedOn w:val="15"/>
    <w:uiPriority w:val="0"/>
  </w:style>
  <w:style w:type="character" w:customStyle="1" w:styleId="74">
    <w:name w:val="hilite6"/>
    <w:basedOn w:val="15"/>
    <w:uiPriority w:val="0"/>
    <w:rPr>
      <w:color w:val="FFFFFF"/>
      <w:bdr w:val="none" w:color="111111" w:sz="0" w:space="0"/>
      <w:shd w:val="clear" w:fill="666666"/>
    </w:rPr>
  </w:style>
  <w:style w:type="character" w:customStyle="1" w:styleId="75">
    <w:name w:val="active7"/>
    <w:basedOn w:val="15"/>
    <w:uiPriority w:val="0"/>
    <w:rPr>
      <w:color w:val="00FF00"/>
      <w:bdr w:val="none" w:color="FF0000" w:sz="0" w:space="0"/>
      <w:shd w:val="clear" w:fill="111111"/>
    </w:rPr>
  </w:style>
  <w:style w:type="character" w:customStyle="1" w:styleId="76">
    <w:name w:val="ico1655"/>
    <w:basedOn w:val="15"/>
    <w:uiPriority w:val="0"/>
  </w:style>
  <w:style w:type="character" w:customStyle="1" w:styleId="77">
    <w:name w:val="button4"/>
    <w:basedOn w:val="15"/>
    <w:uiPriority w:val="0"/>
  </w:style>
  <w:style w:type="character" w:customStyle="1" w:styleId="78">
    <w:name w:val="hover38"/>
    <w:basedOn w:val="15"/>
    <w:uiPriority w:val="0"/>
    <w:rPr>
      <w:color w:val="FFFFFF"/>
    </w:rPr>
  </w:style>
  <w:style w:type="character" w:customStyle="1" w:styleId="79">
    <w:name w:val="hover39"/>
    <w:basedOn w:val="15"/>
    <w:uiPriority w:val="0"/>
    <w:rPr>
      <w:color w:val="FF3126"/>
    </w:rPr>
  </w:style>
  <w:style w:type="character" w:customStyle="1" w:styleId="80">
    <w:name w:val="hover41"/>
    <w:basedOn w:val="15"/>
    <w:uiPriority w:val="0"/>
    <w:rPr>
      <w:color w:va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chart" Target="charts/chart2.xml"/><Relationship Id="rId7" Type="http://schemas.openxmlformats.org/officeDocument/2006/relationships/image" Target="media/image2.png"/><Relationship Id="rId6" Type="http://schemas.openxmlformats.org/officeDocument/2006/relationships/chart" Target="charts/chart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chart" Target="charts/chart7.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image" Target="media/image8.png"/><Relationship Id="rId15" Type="http://schemas.openxmlformats.org/officeDocument/2006/relationships/chart" Target="charts/chart4.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chart" Target="charts/chart3.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Sheet1!$B$1</c:f>
              <c:strCache>
                <c:ptCount val="1"/>
                <c:pt idx="0">
                  <c:v>运行课程门数</c:v>
                </c:pt>
              </c:strCache>
            </c:strRef>
          </c:tx>
          <c:spPr>
            <a:ln w="28575" cap="rnd" cmpd="sng" algn="ctr">
              <a:solidFill>
                <a:schemeClr val="accent1"/>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Sheet1!$A$2:$A$22</c:f>
              <c:numCache>
                <c:formatCode>General</c:formatCode>
                <c:ptCount val="21"/>
                <c:pt idx="0">
                  <c:v>6.01</c:v>
                </c:pt>
                <c:pt idx="1">
                  <c:v>6.02</c:v>
                </c:pt>
                <c:pt idx="2">
                  <c:v>6.03</c:v>
                </c:pt>
                <c:pt idx="3">
                  <c:v>6.04</c:v>
                </c:pt>
                <c:pt idx="4">
                  <c:v>6.05</c:v>
                </c:pt>
                <c:pt idx="5">
                  <c:v>6.08</c:v>
                </c:pt>
                <c:pt idx="6">
                  <c:v>6.09</c:v>
                </c:pt>
                <c:pt idx="7" c:formatCode="0.00_ ">
                  <c:v>6.1</c:v>
                </c:pt>
                <c:pt idx="8">
                  <c:v>6.11</c:v>
                </c:pt>
                <c:pt idx="9">
                  <c:v>6.12</c:v>
                </c:pt>
                <c:pt idx="10">
                  <c:v>6.15</c:v>
                </c:pt>
                <c:pt idx="11">
                  <c:v>6.16</c:v>
                </c:pt>
                <c:pt idx="12">
                  <c:v>6.17</c:v>
                </c:pt>
                <c:pt idx="13">
                  <c:v>6.18</c:v>
                </c:pt>
                <c:pt idx="14">
                  <c:v>6.19</c:v>
                </c:pt>
                <c:pt idx="15">
                  <c:v>6.22</c:v>
                </c:pt>
                <c:pt idx="16">
                  <c:v>6.23</c:v>
                </c:pt>
                <c:pt idx="17">
                  <c:v>6.24</c:v>
                </c:pt>
                <c:pt idx="18">
                  <c:v>6.28</c:v>
                </c:pt>
                <c:pt idx="19">
                  <c:v>6.29</c:v>
                </c:pt>
                <c:pt idx="20" c:formatCode="0.00_ ">
                  <c:v>6.3</c:v>
                </c:pt>
              </c:numCache>
            </c:numRef>
          </c:cat>
          <c:val>
            <c:numRef>
              <c:f>Sheet1!$B$2:$B$22</c:f>
              <c:numCache>
                <c:formatCode>General</c:formatCode>
                <c:ptCount val="21"/>
                <c:pt idx="0">
                  <c:v>813</c:v>
                </c:pt>
                <c:pt idx="1">
                  <c:v>840</c:v>
                </c:pt>
                <c:pt idx="2">
                  <c:v>790</c:v>
                </c:pt>
                <c:pt idx="3">
                  <c:v>800</c:v>
                </c:pt>
                <c:pt idx="4">
                  <c:v>704</c:v>
                </c:pt>
                <c:pt idx="5">
                  <c:v>828</c:v>
                </c:pt>
                <c:pt idx="6">
                  <c:v>502</c:v>
                </c:pt>
                <c:pt idx="7">
                  <c:v>755</c:v>
                </c:pt>
                <c:pt idx="8">
                  <c:v>800</c:v>
                </c:pt>
                <c:pt idx="9">
                  <c:v>777</c:v>
                </c:pt>
                <c:pt idx="10">
                  <c:v>836</c:v>
                </c:pt>
                <c:pt idx="11">
                  <c:v>869</c:v>
                </c:pt>
                <c:pt idx="12">
                  <c:v>830</c:v>
                </c:pt>
                <c:pt idx="13">
                  <c:v>913</c:v>
                </c:pt>
                <c:pt idx="14">
                  <c:v>929</c:v>
                </c:pt>
                <c:pt idx="15">
                  <c:v>919</c:v>
                </c:pt>
                <c:pt idx="16">
                  <c:v>955</c:v>
                </c:pt>
                <c:pt idx="17">
                  <c:v>931</c:v>
                </c:pt>
                <c:pt idx="18">
                  <c:v>835</c:v>
                </c:pt>
                <c:pt idx="19">
                  <c:v>928</c:v>
                </c:pt>
                <c:pt idx="20">
                  <c:v>964</c:v>
                </c:pt>
              </c:numCache>
            </c:numRef>
          </c:val>
          <c:smooth val="0"/>
        </c:ser>
        <c:dLbls>
          <c:showLegendKey val="0"/>
          <c:showVal val="1"/>
          <c:showCatName val="0"/>
          <c:showSerName val="0"/>
          <c:showPercent val="0"/>
          <c:showBubbleSize val="0"/>
        </c:dLbls>
        <c:marker val="0"/>
        <c:smooth val="0"/>
        <c:axId val="148155008"/>
        <c:axId val="148169088"/>
      </c:lineChart>
      <c:catAx>
        <c:axId val="14815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8169088"/>
        <c:crosses val="autoZero"/>
        <c:auto val="1"/>
        <c:lblAlgn val="ctr"/>
        <c:lblOffset val="100"/>
        <c:noMultiLvlLbl val="0"/>
      </c:catAx>
      <c:valAx>
        <c:axId val="14816908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81550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上线学生（人）</c:v>
                </c:pt>
              </c:strCache>
            </c:strRef>
          </c:tx>
          <c:spPr>
            <a:ln w="28575" cap="rnd" cmpd="sng" algn="ctr">
              <a:solidFill>
                <a:schemeClr val="accent1"/>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Sheet1!$A$2:$A$22</c:f>
              <c:numCache>
                <c:formatCode>General</c:formatCode>
                <c:ptCount val="21"/>
                <c:pt idx="0">
                  <c:v>6.01</c:v>
                </c:pt>
                <c:pt idx="1">
                  <c:v>6.02</c:v>
                </c:pt>
                <c:pt idx="2">
                  <c:v>6.03</c:v>
                </c:pt>
                <c:pt idx="3">
                  <c:v>6.04</c:v>
                </c:pt>
                <c:pt idx="4">
                  <c:v>6.05</c:v>
                </c:pt>
                <c:pt idx="5">
                  <c:v>6.08</c:v>
                </c:pt>
                <c:pt idx="6">
                  <c:v>6.09</c:v>
                </c:pt>
                <c:pt idx="7" c:formatCode="0.00_ ">
                  <c:v>6.1</c:v>
                </c:pt>
                <c:pt idx="8">
                  <c:v>6.11</c:v>
                </c:pt>
                <c:pt idx="9">
                  <c:v>6.12</c:v>
                </c:pt>
                <c:pt idx="10">
                  <c:v>6.15</c:v>
                </c:pt>
                <c:pt idx="11">
                  <c:v>6.16</c:v>
                </c:pt>
                <c:pt idx="12">
                  <c:v>6.17</c:v>
                </c:pt>
                <c:pt idx="13">
                  <c:v>6.18</c:v>
                </c:pt>
                <c:pt idx="14">
                  <c:v>6.19</c:v>
                </c:pt>
                <c:pt idx="15">
                  <c:v>6.22</c:v>
                </c:pt>
                <c:pt idx="16">
                  <c:v>6.23</c:v>
                </c:pt>
                <c:pt idx="17">
                  <c:v>6.24</c:v>
                </c:pt>
                <c:pt idx="18">
                  <c:v>6.28</c:v>
                </c:pt>
                <c:pt idx="19">
                  <c:v>6.29</c:v>
                </c:pt>
                <c:pt idx="20" c:formatCode="0.00_ ">
                  <c:v>6.3</c:v>
                </c:pt>
              </c:numCache>
            </c:numRef>
          </c:cat>
          <c:val>
            <c:numRef>
              <c:f>Sheet1!$B$2:$B$22</c:f>
              <c:numCache>
                <c:formatCode>General</c:formatCode>
                <c:ptCount val="21"/>
                <c:pt idx="0">
                  <c:v>9404</c:v>
                </c:pt>
                <c:pt idx="1">
                  <c:v>9503</c:v>
                </c:pt>
                <c:pt idx="2">
                  <c:v>9267</c:v>
                </c:pt>
                <c:pt idx="3">
                  <c:v>9104</c:v>
                </c:pt>
                <c:pt idx="4">
                  <c:v>8582</c:v>
                </c:pt>
                <c:pt idx="5">
                  <c:v>9074</c:v>
                </c:pt>
                <c:pt idx="6">
                  <c:v>9060</c:v>
                </c:pt>
                <c:pt idx="7">
                  <c:v>8911</c:v>
                </c:pt>
                <c:pt idx="8">
                  <c:v>8901</c:v>
                </c:pt>
                <c:pt idx="9">
                  <c:v>8665</c:v>
                </c:pt>
                <c:pt idx="10">
                  <c:v>8658</c:v>
                </c:pt>
                <c:pt idx="11">
                  <c:v>8920</c:v>
                </c:pt>
                <c:pt idx="12">
                  <c:v>8776</c:v>
                </c:pt>
                <c:pt idx="13">
                  <c:v>8925</c:v>
                </c:pt>
                <c:pt idx="14">
                  <c:v>8901</c:v>
                </c:pt>
                <c:pt idx="15">
                  <c:v>8995</c:v>
                </c:pt>
                <c:pt idx="16">
                  <c:v>9268</c:v>
                </c:pt>
                <c:pt idx="17">
                  <c:v>9043</c:v>
                </c:pt>
                <c:pt idx="18">
                  <c:v>9328</c:v>
                </c:pt>
                <c:pt idx="19">
                  <c:v>8986</c:v>
                </c:pt>
                <c:pt idx="20">
                  <c:v>8876</c:v>
                </c:pt>
              </c:numCache>
            </c:numRef>
          </c:val>
          <c:smooth val="0"/>
        </c:ser>
        <c:ser>
          <c:idx val="1"/>
          <c:order val="1"/>
          <c:tx>
            <c:strRef>
              <c:f>Sheet1!$C$1</c:f>
              <c:strCache>
                <c:ptCount val="1"/>
                <c:pt idx="0">
                  <c:v>上线教师（人）</c:v>
                </c:pt>
              </c:strCache>
            </c:strRef>
          </c:tx>
          <c:spPr>
            <a:ln w="28575" cap="rnd" cmpd="sng" algn="ctr">
              <a:solidFill>
                <a:schemeClr val="accent2"/>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Sheet1!$A$2:$A$22</c:f>
              <c:numCache>
                <c:formatCode>General</c:formatCode>
                <c:ptCount val="21"/>
                <c:pt idx="0">
                  <c:v>6.01</c:v>
                </c:pt>
                <c:pt idx="1">
                  <c:v>6.02</c:v>
                </c:pt>
                <c:pt idx="2">
                  <c:v>6.03</c:v>
                </c:pt>
                <c:pt idx="3">
                  <c:v>6.04</c:v>
                </c:pt>
                <c:pt idx="4">
                  <c:v>6.05</c:v>
                </c:pt>
                <c:pt idx="5">
                  <c:v>6.08</c:v>
                </c:pt>
                <c:pt idx="6">
                  <c:v>6.09</c:v>
                </c:pt>
                <c:pt idx="7" c:formatCode="0.00_ ">
                  <c:v>6.1</c:v>
                </c:pt>
                <c:pt idx="8">
                  <c:v>6.11</c:v>
                </c:pt>
                <c:pt idx="9">
                  <c:v>6.12</c:v>
                </c:pt>
                <c:pt idx="10">
                  <c:v>6.15</c:v>
                </c:pt>
                <c:pt idx="11">
                  <c:v>6.16</c:v>
                </c:pt>
                <c:pt idx="12">
                  <c:v>6.17</c:v>
                </c:pt>
                <c:pt idx="13">
                  <c:v>6.18</c:v>
                </c:pt>
                <c:pt idx="14">
                  <c:v>6.19</c:v>
                </c:pt>
                <c:pt idx="15">
                  <c:v>6.22</c:v>
                </c:pt>
                <c:pt idx="16">
                  <c:v>6.23</c:v>
                </c:pt>
                <c:pt idx="17">
                  <c:v>6.24</c:v>
                </c:pt>
                <c:pt idx="18">
                  <c:v>6.28</c:v>
                </c:pt>
                <c:pt idx="19">
                  <c:v>6.29</c:v>
                </c:pt>
                <c:pt idx="20" c:formatCode="0.00_ ">
                  <c:v>6.3</c:v>
                </c:pt>
              </c:numCache>
            </c:numRef>
          </c:cat>
          <c:val>
            <c:numRef>
              <c:f>Sheet1!$C$2:$C$22</c:f>
              <c:numCache>
                <c:formatCode>General</c:formatCode>
                <c:ptCount val="21"/>
                <c:pt idx="0">
                  <c:v>609</c:v>
                </c:pt>
                <c:pt idx="1">
                  <c:v>611</c:v>
                </c:pt>
                <c:pt idx="2">
                  <c:v>601</c:v>
                </c:pt>
                <c:pt idx="3">
                  <c:v>598</c:v>
                </c:pt>
                <c:pt idx="4">
                  <c:v>556</c:v>
                </c:pt>
                <c:pt idx="5">
                  <c:v>577</c:v>
                </c:pt>
                <c:pt idx="6">
                  <c:v>562</c:v>
                </c:pt>
                <c:pt idx="7">
                  <c:v>540</c:v>
                </c:pt>
                <c:pt idx="8">
                  <c:v>567</c:v>
                </c:pt>
                <c:pt idx="9">
                  <c:v>551</c:v>
                </c:pt>
                <c:pt idx="10">
                  <c:v>575</c:v>
                </c:pt>
                <c:pt idx="11">
                  <c:v>574</c:v>
                </c:pt>
                <c:pt idx="12">
                  <c:v>731</c:v>
                </c:pt>
                <c:pt idx="13">
                  <c:v>633</c:v>
                </c:pt>
                <c:pt idx="14">
                  <c:v>594</c:v>
                </c:pt>
                <c:pt idx="15">
                  <c:v>622</c:v>
                </c:pt>
                <c:pt idx="16">
                  <c:v>669</c:v>
                </c:pt>
                <c:pt idx="17">
                  <c:v>770</c:v>
                </c:pt>
                <c:pt idx="18">
                  <c:v>668</c:v>
                </c:pt>
                <c:pt idx="19">
                  <c:v>798</c:v>
                </c:pt>
                <c:pt idx="20">
                  <c:v>890</c:v>
                </c:pt>
              </c:numCache>
            </c:numRef>
          </c:val>
          <c:smooth val="0"/>
        </c:ser>
        <c:dLbls>
          <c:showLegendKey val="0"/>
          <c:showVal val="1"/>
          <c:showCatName val="0"/>
          <c:showSerName val="0"/>
          <c:showPercent val="0"/>
          <c:showBubbleSize val="0"/>
        </c:dLbls>
        <c:marker val="0"/>
        <c:smooth val="0"/>
        <c:axId val="145227136"/>
        <c:axId val="148116608"/>
      </c:lineChart>
      <c:catAx>
        <c:axId val="14522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8116608"/>
        <c:crosses val="autoZero"/>
        <c:auto val="1"/>
        <c:lblAlgn val="ctr"/>
        <c:lblOffset val="100"/>
        <c:noMultiLvlLbl val="0"/>
      </c:catAx>
      <c:valAx>
        <c:axId val="1481166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5227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Sheet1!$B$1</c:f>
              <c:strCache>
                <c:ptCount val="1"/>
                <c:pt idx="0">
                  <c:v>平台访问量（PV）</c:v>
                </c:pt>
              </c:strCache>
            </c:strRef>
          </c:tx>
          <c:spPr>
            <a:ln w="28575" cap="rnd" cmpd="sng" algn="ctr">
              <a:solidFill>
                <a:schemeClr val="accent1"/>
              </a:solidFill>
              <a:prstDash val="solid"/>
              <a:round/>
            </a:ln>
            <a:effectLst/>
          </c:spPr>
          <c:marker>
            <c:symbol val="none"/>
          </c:marker>
          <c:dLbls>
            <c:delete val="1"/>
          </c:dLbls>
          <c:cat>
            <c:numRef>
              <c:f>Sheet1!$A$2:$A$22</c:f>
              <c:numCache>
                <c:formatCode>General</c:formatCode>
                <c:ptCount val="21"/>
                <c:pt idx="0">
                  <c:v>6.01</c:v>
                </c:pt>
                <c:pt idx="1">
                  <c:v>6.02</c:v>
                </c:pt>
                <c:pt idx="2">
                  <c:v>6.03</c:v>
                </c:pt>
                <c:pt idx="3">
                  <c:v>6.04</c:v>
                </c:pt>
                <c:pt idx="4">
                  <c:v>6.05</c:v>
                </c:pt>
                <c:pt idx="5">
                  <c:v>6.08</c:v>
                </c:pt>
                <c:pt idx="6">
                  <c:v>6.09</c:v>
                </c:pt>
                <c:pt idx="7" c:formatCode="0.00_ ">
                  <c:v>6.1</c:v>
                </c:pt>
                <c:pt idx="8">
                  <c:v>6.11</c:v>
                </c:pt>
                <c:pt idx="9">
                  <c:v>6.12</c:v>
                </c:pt>
                <c:pt idx="10">
                  <c:v>6.15</c:v>
                </c:pt>
                <c:pt idx="11">
                  <c:v>6.16</c:v>
                </c:pt>
                <c:pt idx="12">
                  <c:v>6.17</c:v>
                </c:pt>
                <c:pt idx="13">
                  <c:v>6.18</c:v>
                </c:pt>
                <c:pt idx="14">
                  <c:v>6.19</c:v>
                </c:pt>
                <c:pt idx="15">
                  <c:v>6.22</c:v>
                </c:pt>
                <c:pt idx="16">
                  <c:v>6.23</c:v>
                </c:pt>
                <c:pt idx="17">
                  <c:v>6.24</c:v>
                </c:pt>
                <c:pt idx="18">
                  <c:v>6.28</c:v>
                </c:pt>
                <c:pt idx="19">
                  <c:v>6.29</c:v>
                </c:pt>
                <c:pt idx="20" c:formatCode="0.00_ ">
                  <c:v>6.3</c:v>
                </c:pt>
              </c:numCache>
            </c:numRef>
          </c:cat>
          <c:val>
            <c:numRef>
              <c:f>Sheet1!$B$2:$B$22</c:f>
              <c:numCache>
                <c:formatCode>General</c:formatCode>
                <c:ptCount val="21"/>
                <c:pt idx="0">
                  <c:v>7556601</c:v>
                </c:pt>
                <c:pt idx="1">
                  <c:v>7329835</c:v>
                </c:pt>
                <c:pt idx="2">
                  <c:v>6978472</c:v>
                </c:pt>
                <c:pt idx="3">
                  <c:v>7261912</c:v>
                </c:pt>
                <c:pt idx="4">
                  <c:v>6273619</c:v>
                </c:pt>
                <c:pt idx="5">
                  <c:v>3857884</c:v>
                </c:pt>
                <c:pt idx="6">
                  <c:v>4427901</c:v>
                </c:pt>
                <c:pt idx="7">
                  <c:v>3860581</c:v>
                </c:pt>
                <c:pt idx="8">
                  <c:v>3895037</c:v>
                </c:pt>
                <c:pt idx="9">
                  <c:v>3426978</c:v>
                </c:pt>
                <c:pt idx="10">
                  <c:v>3857508</c:v>
                </c:pt>
                <c:pt idx="11">
                  <c:v>4004308</c:v>
                </c:pt>
                <c:pt idx="12">
                  <c:v>3993963</c:v>
                </c:pt>
                <c:pt idx="13">
                  <c:v>5076211</c:v>
                </c:pt>
                <c:pt idx="14">
                  <c:v>4499176</c:v>
                </c:pt>
                <c:pt idx="15">
                  <c:v>5240440</c:v>
                </c:pt>
                <c:pt idx="16">
                  <c:v>5675462</c:v>
                </c:pt>
                <c:pt idx="17">
                  <c:v>6157565</c:v>
                </c:pt>
                <c:pt idx="18">
                  <c:v>5240440</c:v>
                </c:pt>
                <c:pt idx="19">
                  <c:v>5675462</c:v>
                </c:pt>
                <c:pt idx="20">
                  <c:v>6157565</c:v>
                </c:pt>
              </c:numCache>
            </c:numRef>
          </c:val>
          <c:smooth val="0"/>
        </c:ser>
        <c:ser>
          <c:idx val="1"/>
          <c:order val="1"/>
          <c:tx>
            <c:strRef>
              <c:f>Sheet1!$C$1</c:f>
              <c:strCache>
                <c:ptCount val="1"/>
                <c:pt idx="0">
                  <c:v>教师访问量（PV）</c:v>
                </c:pt>
              </c:strCache>
            </c:strRef>
          </c:tx>
          <c:spPr>
            <a:ln w="28575" cap="rnd" cmpd="sng" algn="ctr">
              <a:solidFill>
                <a:schemeClr val="accent2"/>
              </a:solidFill>
              <a:prstDash val="solid"/>
              <a:round/>
            </a:ln>
            <a:effectLst/>
          </c:spPr>
          <c:marker>
            <c:symbol val="none"/>
          </c:marker>
          <c:dLbls>
            <c:delete val="1"/>
          </c:dLbls>
          <c:cat>
            <c:numRef>
              <c:f>Sheet1!$A$2:$A$22</c:f>
              <c:numCache>
                <c:formatCode>General</c:formatCode>
                <c:ptCount val="21"/>
                <c:pt idx="0">
                  <c:v>6.01</c:v>
                </c:pt>
                <c:pt idx="1">
                  <c:v>6.02</c:v>
                </c:pt>
                <c:pt idx="2">
                  <c:v>6.03</c:v>
                </c:pt>
                <c:pt idx="3">
                  <c:v>6.04</c:v>
                </c:pt>
                <c:pt idx="4">
                  <c:v>6.05</c:v>
                </c:pt>
                <c:pt idx="5">
                  <c:v>6.08</c:v>
                </c:pt>
                <c:pt idx="6">
                  <c:v>6.09</c:v>
                </c:pt>
                <c:pt idx="7" c:formatCode="0.00_ ">
                  <c:v>6.1</c:v>
                </c:pt>
                <c:pt idx="8">
                  <c:v>6.11</c:v>
                </c:pt>
                <c:pt idx="9">
                  <c:v>6.12</c:v>
                </c:pt>
                <c:pt idx="10">
                  <c:v>6.15</c:v>
                </c:pt>
                <c:pt idx="11">
                  <c:v>6.16</c:v>
                </c:pt>
                <c:pt idx="12">
                  <c:v>6.17</c:v>
                </c:pt>
                <c:pt idx="13">
                  <c:v>6.18</c:v>
                </c:pt>
                <c:pt idx="14">
                  <c:v>6.19</c:v>
                </c:pt>
                <c:pt idx="15">
                  <c:v>6.22</c:v>
                </c:pt>
                <c:pt idx="16">
                  <c:v>6.23</c:v>
                </c:pt>
                <c:pt idx="17">
                  <c:v>6.24</c:v>
                </c:pt>
                <c:pt idx="18">
                  <c:v>6.28</c:v>
                </c:pt>
                <c:pt idx="19">
                  <c:v>6.29</c:v>
                </c:pt>
                <c:pt idx="20" c:formatCode="0.00_ ">
                  <c:v>6.3</c:v>
                </c:pt>
              </c:numCache>
            </c:numRef>
          </c:cat>
          <c:val>
            <c:numRef>
              <c:f>Sheet1!$C$2:$C$22</c:f>
              <c:numCache>
                <c:formatCode>General</c:formatCode>
                <c:ptCount val="21"/>
                <c:pt idx="0">
                  <c:v>241271</c:v>
                </c:pt>
                <c:pt idx="1">
                  <c:v>261034</c:v>
                </c:pt>
                <c:pt idx="2">
                  <c:v>206949</c:v>
                </c:pt>
                <c:pt idx="3">
                  <c:v>236542</c:v>
                </c:pt>
                <c:pt idx="4">
                  <c:v>195388</c:v>
                </c:pt>
                <c:pt idx="5">
                  <c:v>132962</c:v>
                </c:pt>
                <c:pt idx="6">
                  <c:v>167066</c:v>
                </c:pt>
                <c:pt idx="7">
                  <c:v>124913</c:v>
                </c:pt>
                <c:pt idx="8">
                  <c:v>107702</c:v>
                </c:pt>
                <c:pt idx="9">
                  <c:v>96547</c:v>
                </c:pt>
                <c:pt idx="10">
                  <c:v>152714</c:v>
                </c:pt>
                <c:pt idx="11">
                  <c:v>114423</c:v>
                </c:pt>
                <c:pt idx="12">
                  <c:v>131768</c:v>
                </c:pt>
                <c:pt idx="13">
                  <c:v>177891</c:v>
                </c:pt>
                <c:pt idx="14">
                  <c:v>118138</c:v>
                </c:pt>
                <c:pt idx="15">
                  <c:v>137760</c:v>
                </c:pt>
                <c:pt idx="16">
                  <c:v>207870</c:v>
                </c:pt>
                <c:pt idx="17">
                  <c:v>185462</c:v>
                </c:pt>
                <c:pt idx="18">
                  <c:v>136760</c:v>
                </c:pt>
                <c:pt idx="19">
                  <c:v>207970</c:v>
                </c:pt>
                <c:pt idx="20">
                  <c:v>186462</c:v>
                </c:pt>
              </c:numCache>
            </c:numRef>
          </c:val>
          <c:smooth val="0"/>
        </c:ser>
        <c:ser>
          <c:idx val="2"/>
          <c:order val="2"/>
          <c:tx>
            <c:strRef>
              <c:f>Sheet1!$D$1</c:f>
              <c:strCache>
                <c:ptCount val="1"/>
                <c:pt idx="0">
                  <c:v>学生访问量（PV）</c:v>
                </c:pt>
              </c:strCache>
            </c:strRef>
          </c:tx>
          <c:spPr>
            <a:ln w="28575" cap="rnd" cmpd="sng" algn="ctr">
              <a:solidFill>
                <a:schemeClr val="accent3"/>
              </a:solidFill>
              <a:prstDash val="solid"/>
              <a:round/>
            </a:ln>
            <a:effectLst/>
          </c:spPr>
          <c:marker>
            <c:symbol val="none"/>
          </c:marker>
          <c:dLbls>
            <c:delete val="1"/>
          </c:dLbls>
          <c:cat>
            <c:numRef>
              <c:f>Sheet1!$A$2:$A$22</c:f>
              <c:numCache>
                <c:formatCode>General</c:formatCode>
                <c:ptCount val="21"/>
                <c:pt idx="0">
                  <c:v>6.01</c:v>
                </c:pt>
                <c:pt idx="1">
                  <c:v>6.02</c:v>
                </c:pt>
                <c:pt idx="2">
                  <c:v>6.03</c:v>
                </c:pt>
                <c:pt idx="3">
                  <c:v>6.04</c:v>
                </c:pt>
                <c:pt idx="4">
                  <c:v>6.05</c:v>
                </c:pt>
                <c:pt idx="5">
                  <c:v>6.08</c:v>
                </c:pt>
                <c:pt idx="6">
                  <c:v>6.09</c:v>
                </c:pt>
                <c:pt idx="7" c:formatCode="0.00_ ">
                  <c:v>6.1</c:v>
                </c:pt>
                <c:pt idx="8">
                  <c:v>6.11</c:v>
                </c:pt>
                <c:pt idx="9">
                  <c:v>6.12</c:v>
                </c:pt>
                <c:pt idx="10">
                  <c:v>6.15</c:v>
                </c:pt>
                <c:pt idx="11">
                  <c:v>6.16</c:v>
                </c:pt>
                <c:pt idx="12">
                  <c:v>6.17</c:v>
                </c:pt>
                <c:pt idx="13">
                  <c:v>6.18</c:v>
                </c:pt>
                <c:pt idx="14">
                  <c:v>6.19</c:v>
                </c:pt>
                <c:pt idx="15">
                  <c:v>6.22</c:v>
                </c:pt>
                <c:pt idx="16">
                  <c:v>6.23</c:v>
                </c:pt>
                <c:pt idx="17">
                  <c:v>6.24</c:v>
                </c:pt>
                <c:pt idx="18">
                  <c:v>6.28</c:v>
                </c:pt>
                <c:pt idx="19">
                  <c:v>6.29</c:v>
                </c:pt>
                <c:pt idx="20" c:formatCode="0.00_ ">
                  <c:v>6.3</c:v>
                </c:pt>
              </c:numCache>
            </c:numRef>
          </c:cat>
          <c:val>
            <c:numRef>
              <c:f>Sheet1!$D$2:$D$22</c:f>
              <c:numCache>
                <c:formatCode>General</c:formatCode>
                <c:ptCount val="21"/>
                <c:pt idx="0">
                  <c:v>7315330</c:v>
                </c:pt>
                <c:pt idx="1">
                  <c:v>7068801</c:v>
                </c:pt>
                <c:pt idx="2">
                  <c:v>6771523</c:v>
                </c:pt>
                <c:pt idx="3">
                  <c:v>7025370</c:v>
                </c:pt>
                <c:pt idx="4">
                  <c:v>6078231</c:v>
                </c:pt>
                <c:pt idx="5">
                  <c:v>3724922</c:v>
                </c:pt>
                <c:pt idx="6">
                  <c:v>4260835</c:v>
                </c:pt>
                <c:pt idx="7">
                  <c:v>3735668</c:v>
                </c:pt>
                <c:pt idx="8">
                  <c:v>3787335</c:v>
                </c:pt>
                <c:pt idx="9">
                  <c:v>3330431</c:v>
                </c:pt>
                <c:pt idx="10">
                  <c:v>3704794</c:v>
                </c:pt>
                <c:pt idx="11">
                  <c:v>3889885</c:v>
                </c:pt>
                <c:pt idx="12">
                  <c:v>3862195</c:v>
                </c:pt>
                <c:pt idx="13">
                  <c:v>4898320</c:v>
                </c:pt>
                <c:pt idx="14">
                  <c:v>4381038</c:v>
                </c:pt>
                <c:pt idx="15">
                  <c:v>5102680</c:v>
                </c:pt>
                <c:pt idx="16">
                  <c:v>5467592</c:v>
                </c:pt>
                <c:pt idx="17">
                  <c:v>5972103</c:v>
                </c:pt>
                <c:pt idx="18">
                  <c:v>5302680</c:v>
                </c:pt>
                <c:pt idx="19">
                  <c:v>5567592</c:v>
                </c:pt>
                <c:pt idx="20">
                  <c:v>6072103</c:v>
                </c:pt>
              </c:numCache>
            </c:numRef>
          </c:val>
          <c:smooth val="0"/>
        </c:ser>
        <c:dLbls>
          <c:showLegendKey val="0"/>
          <c:showVal val="0"/>
          <c:showCatName val="0"/>
          <c:showSerName val="0"/>
          <c:showPercent val="0"/>
          <c:showBubbleSize val="0"/>
        </c:dLbls>
        <c:marker val="0"/>
        <c:smooth val="0"/>
        <c:axId val="146452480"/>
        <c:axId val="146454016"/>
      </c:lineChart>
      <c:catAx>
        <c:axId val="14645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6454016"/>
        <c:crosses val="autoZero"/>
        <c:auto val="1"/>
        <c:lblAlgn val="ctr"/>
        <c:lblOffset val="100"/>
        <c:noMultiLvlLbl val="0"/>
      </c:catAx>
      <c:valAx>
        <c:axId val="14645401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6452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发布活动</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Sheet1!$A$2:$A$22</c:f>
              <c:numCache>
                <c:formatCode>General</c:formatCode>
                <c:ptCount val="21"/>
                <c:pt idx="0">
                  <c:v>6.01</c:v>
                </c:pt>
                <c:pt idx="1">
                  <c:v>6.02</c:v>
                </c:pt>
                <c:pt idx="2">
                  <c:v>6.03</c:v>
                </c:pt>
                <c:pt idx="3">
                  <c:v>6.04</c:v>
                </c:pt>
                <c:pt idx="4">
                  <c:v>6.05</c:v>
                </c:pt>
                <c:pt idx="5">
                  <c:v>6.08</c:v>
                </c:pt>
                <c:pt idx="6">
                  <c:v>6.09</c:v>
                </c:pt>
                <c:pt idx="7" c:formatCode="0.00_ ">
                  <c:v>6.1</c:v>
                </c:pt>
                <c:pt idx="8">
                  <c:v>6.11</c:v>
                </c:pt>
                <c:pt idx="9">
                  <c:v>6.12</c:v>
                </c:pt>
                <c:pt idx="10">
                  <c:v>6.15</c:v>
                </c:pt>
                <c:pt idx="11">
                  <c:v>6.16</c:v>
                </c:pt>
                <c:pt idx="12">
                  <c:v>6.17</c:v>
                </c:pt>
                <c:pt idx="13">
                  <c:v>6.18</c:v>
                </c:pt>
                <c:pt idx="14">
                  <c:v>6.19</c:v>
                </c:pt>
                <c:pt idx="15">
                  <c:v>6.22</c:v>
                </c:pt>
                <c:pt idx="16">
                  <c:v>6.23</c:v>
                </c:pt>
                <c:pt idx="17">
                  <c:v>6.24</c:v>
                </c:pt>
                <c:pt idx="18">
                  <c:v>6.28</c:v>
                </c:pt>
                <c:pt idx="19">
                  <c:v>6.29</c:v>
                </c:pt>
                <c:pt idx="20" c:formatCode="0.00_ ">
                  <c:v>6.3</c:v>
                </c:pt>
              </c:numCache>
            </c:numRef>
          </c:cat>
          <c:val>
            <c:numRef>
              <c:f>Sheet1!$B$2:$B$22</c:f>
              <c:numCache>
                <c:formatCode>General</c:formatCode>
                <c:ptCount val="21"/>
                <c:pt idx="0">
                  <c:v>759</c:v>
                </c:pt>
                <c:pt idx="1">
                  <c:v>862</c:v>
                </c:pt>
                <c:pt idx="2">
                  <c:v>610</c:v>
                </c:pt>
                <c:pt idx="3">
                  <c:v>725</c:v>
                </c:pt>
                <c:pt idx="4">
                  <c:v>571</c:v>
                </c:pt>
                <c:pt idx="5">
                  <c:v>641</c:v>
                </c:pt>
                <c:pt idx="6">
                  <c:v>709</c:v>
                </c:pt>
                <c:pt idx="7">
                  <c:v>512</c:v>
                </c:pt>
                <c:pt idx="8">
                  <c:v>581</c:v>
                </c:pt>
                <c:pt idx="9">
                  <c:v>525</c:v>
                </c:pt>
                <c:pt idx="10">
                  <c:v>574</c:v>
                </c:pt>
                <c:pt idx="11">
                  <c:v>656</c:v>
                </c:pt>
                <c:pt idx="12">
                  <c:v>515</c:v>
                </c:pt>
                <c:pt idx="13">
                  <c:v>564</c:v>
                </c:pt>
                <c:pt idx="14">
                  <c:v>508</c:v>
                </c:pt>
                <c:pt idx="15">
                  <c:v>516</c:v>
                </c:pt>
                <c:pt idx="16">
                  <c:v>516</c:v>
                </c:pt>
                <c:pt idx="17">
                  <c:v>372</c:v>
                </c:pt>
                <c:pt idx="18">
                  <c:v>701</c:v>
                </c:pt>
                <c:pt idx="19">
                  <c:v>909</c:v>
                </c:pt>
                <c:pt idx="20">
                  <c:v>719</c:v>
                </c:pt>
              </c:numCache>
            </c:numRef>
          </c:val>
        </c:ser>
        <c:ser>
          <c:idx val="1"/>
          <c:order val="1"/>
          <c:tx>
            <c:strRef>
              <c:f>Sheet1!$C$1</c:f>
              <c:strCache>
                <c:ptCount val="1"/>
                <c:pt idx="0">
                  <c:v>课堂活动（次）</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Sheet1!$A$2:$A$22</c:f>
              <c:numCache>
                <c:formatCode>General</c:formatCode>
                <c:ptCount val="21"/>
                <c:pt idx="0">
                  <c:v>6.01</c:v>
                </c:pt>
                <c:pt idx="1">
                  <c:v>6.02</c:v>
                </c:pt>
                <c:pt idx="2">
                  <c:v>6.03</c:v>
                </c:pt>
                <c:pt idx="3">
                  <c:v>6.04</c:v>
                </c:pt>
                <c:pt idx="4">
                  <c:v>6.05</c:v>
                </c:pt>
                <c:pt idx="5">
                  <c:v>6.08</c:v>
                </c:pt>
                <c:pt idx="6">
                  <c:v>6.09</c:v>
                </c:pt>
                <c:pt idx="7" c:formatCode="0.00_ ">
                  <c:v>6.1</c:v>
                </c:pt>
                <c:pt idx="8">
                  <c:v>6.11</c:v>
                </c:pt>
                <c:pt idx="9">
                  <c:v>6.12</c:v>
                </c:pt>
                <c:pt idx="10">
                  <c:v>6.15</c:v>
                </c:pt>
                <c:pt idx="11">
                  <c:v>6.16</c:v>
                </c:pt>
                <c:pt idx="12">
                  <c:v>6.17</c:v>
                </c:pt>
                <c:pt idx="13">
                  <c:v>6.18</c:v>
                </c:pt>
                <c:pt idx="14">
                  <c:v>6.19</c:v>
                </c:pt>
                <c:pt idx="15">
                  <c:v>6.22</c:v>
                </c:pt>
                <c:pt idx="16">
                  <c:v>6.23</c:v>
                </c:pt>
                <c:pt idx="17">
                  <c:v>6.24</c:v>
                </c:pt>
                <c:pt idx="18">
                  <c:v>6.28</c:v>
                </c:pt>
                <c:pt idx="19">
                  <c:v>6.29</c:v>
                </c:pt>
                <c:pt idx="20" c:formatCode="0.00_ ">
                  <c:v>6.3</c:v>
                </c:pt>
              </c:numCache>
            </c:numRef>
          </c:cat>
          <c:val>
            <c:numRef>
              <c:f>Sheet1!$C$2:$C$22</c:f>
              <c:numCache>
                <c:formatCode>General</c:formatCode>
                <c:ptCount val="21"/>
                <c:pt idx="0">
                  <c:v>20051</c:v>
                </c:pt>
                <c:pt idx="1">
                  <c:v>19943</c:v>
                </c:pt>
                <c:pt idx="2">
                  <c:v>16369</c:v>
                </c:pt>
                <c:pt idx="3">
                  <c:v>19444</c:v>
                </c:pt>
                <c:pt idx="4">
                  <c:v>14885</c:v>
                </c:pt>
                <c:pt idx="5">
                  <c:v>17239</c:v>
                </c:pt>
                <c:pt idx="6">
                  <c:v>17094</c:v>
                </c:pt>
                <c:pt idx="7">
                  <c:v>14386</c:v>
                </c:pt>
                <c:pt idx="8">
                  <c:v>16434</c:v>
                </c:pt>
                <c:pt idx="9">
                  <c:v>13847</c:v>
                </c:pt>
                <c:pt idx="10">
                  <c:v>16217</c:v>
                </c:pt>
                <c:pt idx="11">
                  <c:v>16935</c:v>
                </c:pt>
                <c:pt idx="12">
                  <c:v>14435</c:v>
                </c:pt>
                <c:pt idx="13">
                  <c:v>16425</c:v>
                </c:pt>
                <c:pt idx="14">
                  <c:v>14295</c:v>
                </c:pt>
                <c:pt idx="15">
                  <c:v>14259</c:v>
                </c:pt>
                <c:pt idx="16">
                  <c:v>13881</c:v>
                </c:pt>
                <c:pt idx="17">
                  <c:v>11214</c:v>
                </c:pt>
                <c:pt idx="18">
                  <c:v>11998</c:v>
                </c:pt>
                <c:pt idx="19">
                  <c:v>13258</c:v>
                </c:pt>
                <c:pt idx="20">
                  <c:v>13987</c:v>
                </c:pt>
              </c:numCache>
            </c:numRef>
          </c:val>
        </c:ser>
        <c:dLbls>
          <c:showLegendKey val="0"/>
          <c:showVal val="1"/>
          <c:showCatName val="0"/>
          <c:showSerName val="0"/>
          <c:showPercent val="0"/>
          <c:showBubbleSize val="0"/>
        </c:dLbls>
        <c:gapWidth val="219"/>
        <c:overlap val="-27"/>
        <c:axId val="146533376"/>
        <c:axId val="153432832"/>
      </c:barChart>
      <c:catAx>
        <c:axId val="14653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3432832"/>
        <c:crosses val="autoZero"/>
        <c:auto val="1"/>
        <c:lblAlgn val="ctr"/>
        <c:lblOffset val="100"/>
        <c:noMultiLvlLbl val="0"/>
      </c:catAx>
      <c:valAx>
        <c:axId val="15343283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653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Sheet1!$B$1</c:f>
              <c:strCache>
                <c:ptCount val="1"/>
                <c:pt idx="0">
                  <c:v>师生讨论（个）</c:v>
                </c:pt>
              </c:strCache>
            </c:strRef>
          </c:tx>
          <c:spPr>
            <a:ln w="28575" cap="rnd" cmpd="sng" algn="ctr">
              <a:solidFill>
                <a:schemeClr val="accent1"/>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Sheet1!$A$2:$A$22</c:f>
              <c:numCache>
                <c:formatCode>General</c:formatCode>
                <c:ptCount val="21"/>
                <c:pt idx="0">
                  <c:v>6.01</c:v>
                </c:pt>
                <c:pt idx="1">
                  <c:v>6.02</c:v>
                </c:pt>
                <c:pt idx="2">
                  <c:v>6.03</c:v>
                </c:pt>
                <c:pt idx="3">
                  <c:v>6.04</c:v>
                </c:pt>
                <c:pt idx="4">
                  <c:v>6.05</c:v>
                </c:pt>
                <c:pt idx="5">
                  <c:v>6.08</c:v>
                </c:pt>
                <c:pt idx="6">
                  <c:v>6.09</c:v>
                </c:pt>
                <c:pt idx="7" c:formatCode="0.00_ ">
                  <c:v>6.1</c:v>
                </c:pt>
                <c:pt idx="8">
                  <c:v>6.11</c:v>
                </c:pt>
                <c:pt idx="9">
                  <c:v>6.12</c:v>
                </c:pt>
                <c:pt idx="10">
                  <c:v>6.15</c:v>
                </c:pt>
                <c:pt idx="11">
                  <c:v>6.16</c:v>
                </c:pt>
                <c:pt idx="12">
                  <c:v>6.17</c:v>
                </c:pt>
                <c:pt idx="13">
                  <c:v>6.18</c:v>
                </c:pt>
                <c:pt idx="14">
                  <c:v>6.19</c:v>
                </c:pt>
                <c:pt idx="15">
                  <c:v>6.22</c:v>
                </c:pt>
                <c:pt idx="16">
                  <c:v>6.23</c:v>
                </c:pt>
                <c:pt idx="17">
                  <c:v>6.24</c:v>
                </c:pt>
                <c:pt idx="18">
                  <c:v>6.28</c:v>
                </c:pt>
                <c:pt idx="19">
                  <c:v>6.29</c:v>
                </c:pt>
                <c:pt idx="20" c:formatCode="0.00_ ">
                  <c:v>6.3</c:v>
                </c:pt>
              </c:numCache>
            </c:numRef>
          </c:cat>
          <c:val>
            <c:numRef>
              <c:f>Sheet1!$B$2:$B$22</c:f>
              <c:numCache>
                <c:formatCode>General</c:formatCode>
                <c:ptCount val="21"/>
                <c:pt idx="0">
                  <c:v>7399</c:v>
                </c:pt>
                <c:pt idx="1">
                  <c:v>5988</c:v>
                </c:pt>
                <c:pt idx="2">
                  <c:v>4702</c:v>
                </c:pt>
                <c:pt idx="3">
                  <c:v>4825</c:v>
                </c:pt>
                <c:pt idx="4">
                  <c:v>3687</c:v>
                </c:pt>
                <c:pt idx="5">
                  <c:v>4856</c:v>
                </c:pt>
                <c:pt idx="6">
                  <c:v>6124</c:v>
                </c:pt>
                <c:pt idx="7">
                  <c:v>4083</c:v>
                </c:pt>
                <c:pt idx="8">
                  <c:v>3597</c:v>
                </c:pt>
                <c:pt idx="9">
                  <c:v>3926</c:v>
                </c:pt>
                <c:pt idx="10">
                  <c:v>4721</c:v>
                </c:pt>
                <c:pt idx="11">
                  <c:v>4523</c:v>
                </c:pt>
                <c:pt idx="12">
                  <c:v>2973</c:v>
                </c:pt>
                <c:pt idx="13">
                  <c:v>3491</c:v>
                </c:pt>
                <c:pt idx="14">
                  <c:v>4461</c:v>
                </c:pt>
                <c:pt idx="15">
                  <c:v>9860</c:v>
                </c:pt>
                <c:pt idx="16">
                  <c:v>6627</c:v>
                </c:pt>
                <c:pt idx="17">
                  <c:v>6481</c:v>
                </c:pt>
                <c:pt idx="18">
                  <c:v>7346</c:v>
                </c:pt>
                <c:pt idx="19">
                  <c:v>5681</c:v>
                </c:pt>
                <c:pt idx="20">
                  <c:v>6729</c:v>
                </c:pt>
              </c:numCache>
            </c:numRef>
          </c:val>
          <c:smooth val="0"/>
        </c:ser>
        <c:dLbls>
          <c:showLegendKey val="0"/>
          <c:showVal val="1"/>
          <c:showCatName val="0"/>
          <c:showSerName val="0"/>
          <c:showPercent val="0"/>
          <c:showBubbleSize val="0"/>
        </c:dLbls>
        <c:marker val="0"/>
        <c:smooth val="0"/>
        <c:axId val="153469696"/>
        <c:axId val="153471232"/>
      </c:lineChart>
      <c:catAx>
        <c:axId val="15346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3471232"/>
        <c:crosses val="autoZero"/>
        <c:auto val="1"/>
        <c:lblAlgn val="ctr"/>
        <c:lblOffset val="100"/>
        <c:noMultiLvlLbl val="0"/>
      </c:catAx>
      <c:valAx>
        <c:axId val="15347123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3469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发布作业（个）</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Sheet1!$A$2:$A$22</c:f>
              <c:numCache>
                <c:formatCode>General</c:formatCode>
                <c:ptCount val="21"/>
                <c:pt idx="0">
                  <c:v>6.01</c:v>
                </c:pt>
                <c:pt idx="1">
                  <c:v>6.02</c:v>
                </c:pt>
                <c:pt idx="2">
                  <c:v>6.03</c:v>
                </c:pt>
                <c:pt idx="3">
                  <c:v>6.04</c:v>
                </c:pt>
                <c:pt idx="4">
                  <c:v>6.05</c:v>
                </c:pt>
                <c:pt idx="5">
                  <c:v>6.08</c:v>
                </c:pt>
                <c:pt idx="6">
                  <c:v>6.09</c:v>
                </c:pt>
                <c:pt idx="7" c:formatCode="0.00_ ">
                  <c:v>6.1</c:v>
                </c:pt>
                <c:pt idx="8">
                  <c:v>6.11</c:v>
                </c:pt>
                <c:pt idx="9">
                  <c:v>6.12</c:v>
                </c:pt>
                <c:pt idx="10">
                  <c:v>6.15</c:v>
                </c:pt>
                <c:pt idx="11">
                  <c:v>6.16</c:v>
                </c:pt>
                <c:pt idx="12">
                  <c:v>6.17</c:v>
                </c:pt>
                <c:pt idx="13">
                  <c:v>6.18</c:v>
                </c:pt>
                <c:pt idx="14">
                  <c:v>6.19</c:v>
                </c:pt>
                <c:pt idx="15">
                  <c:v>6.22</c:v>
                </c:pt>
                <c:pt idx="16">
                  <c:v>6.23</c:v>
                </c:pt>
                <c:pt idx="17">
                  <c:v>6.24</c:v>
                </c:pt>
                <c:pt idx="18">
                  <c:v>6.28</c:v>
                </c:pt>
                <c:pt idx="19">
                  <c:v>6.29</c:v>
                </c:pt>
                <c:pt idx="20" c:formatCode="0.00_ ">
                  <c:v>6.3</c:v>
                </c:pt>
              </c:numCache>
            </c:numRef>
          </c:cat>
          <c:val>
            <c:numRef>
              <c:f>Sheet1!$B$2:$B$22</c:f>
              <c:numCache>
                <c:formatCode>General</c:formatCode>
                <c:ptCount val="21"/>
                <c:pt idx="0">
                  <c:v>147</c:v>
                </c:pt>
                <c:pt idx="1">
                  <c:v>184</c:v>
                </c:pt>
                <c:pt idx="2">
                  <c:v>112</c:v>
                </c:pt>
                <c:pt idx="3">
                  <c:v>168</c:v>
                </c:pt>
                <c:pt idx="4">
                  <c:v>88</c:v>
                </c:pt>
                <c:pt idx="5">
                  <c:v>161</c:v>
                </c:pt>
                <c:pt idx="6">
                  <c:v>153</c:v>
                </c:pt>
                <c:pt idx="7">
                  <c:v>114</c:v>
                </c:pt>
                <c:pt idx="8">
                  <c:v>126</c:v>
                </c:pt>
                <c:pt idx="9">
                  <c:v>95</c:v>
                </c:pt>
                <c:pt idx="10">
                  <c:v>122</c:v>
                </c:pt>
                <c:pt idx="11">
                  <c:v>191</c:v>
                </c:pt>
                <c:pt idx="12">
                  <c:v>202</c:v>
                </c:pt>
                <c:pt idx="13">
                  <c:v>143</c:v>
                </c:pt>
                <c:pt idx="14">
                  <c:v>126</c:v>
                </c:pt>
                <c:pt idx="15">
                  <c:v>200</c:v>
                </c:pt>
                <c:pt idx="16">
                  <c:v>134</c:v>
                </c:pt>
                <c:pt idx="17">
                  <c:v>117</c:v>
                </c:pt>
                <c:pt idx="18">
                  <c:v>128</c:v>
                </c:pt>
                <c:pt idx="19">
                  <c:v>105</c:v>
                </c:pt>
                <c:pt idx="20">
                  <c:v>89</c:v>
                </c:pt>
              </c:numCache>
            </c:numRef>
          </c:val>
        </c:ser>
        <c:ser>
          <c:idx val="1"/>
          <c:order val="1"/>
          <c:tx>
            <c:strRef>
              <c:f>Sheet1!$C$1</c:f>
              <c:strCache>
                <c:ptCount val="1"/>
                <c:pt idx="0">
                  <c:v>批阅作业（个）</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Sheet1!$A$2:$A$22</c:f>
              <c:numCache>
                <c:formatCode>General</c:formatCode>
                <c:ptCount val="21"/>
                <c:pt idx="0">
                  <c:v>6.01</c:v>
                </c:pt>
                <c:pt idx="1">
                  <c:v>6.02</c:v>
                </c:pt>
                <c:pt idx="2">
                  <c:v>6.03</c:v>
                </c:pt>
                <c:pt idx="3">
                  <c:v>6.04</c:v>
                </c:pt>
                <c:pt idx="4">
                  <c:v>6.05</c:v>
                </c:pt>
                <c:pt idx="5">
                  <c:v>6.08</c:v>
                </c:pt>
                <c:pt idx="6">
                  <c:v>6.09</c:v>
                </c:pt>
                <c:pt idx="7" c:formatCode="0.00_ ">
                  <c:v>6.1</c:v>
                </c:pt>
                <c:pt idx="8">
                  <c:v>6.11</c:v>
                </c:pt>
                <c:pt idx="9">
                  <c:v>6.12</c:v>
                </c:pt>
                <c:pt idx="10">
                  <c:v>6.15</c:v>
                </c:pt>
                <c:pt idx="11">
                  <c:v>6.16</c:v>
                </c:pt>
                <c:pt idx="12">
                  <c:v>6.17</c:v>
                </c:pt>
                <c:pt idx="13">
                  <c:v>6.18</c:v>
                </c:pt>
                <c:pt idx="14">
                  <c:v>6.19</c:v>
                </c:pt>
                <c:pt idx="15">
                  <c:v>6.22</c:v>
                </c:pt>
                <c:pt idx="16">
                  <c:v>6.23</c:v>
                </c:pt>
                <c:pt idx="17">
                  <c:v>6.24</c:v>
                </c:pt>
                <c:pt idx="18">
                  <c:v>6.28</c:v>
                </c:pt>
                <c:pt idx="19">
                  <c:v>6.29</c:v>
                </c:pt>
                <c:pt idx="20" c:formatCode="0.00_ ">
                  <c:v>6.3</c:v>
                </c:pt>
              </c:numCache>
            </c:numRef>
          </c:cat>
          <c:val>
            <c:numRef>
              <c:f>Sheet1!$C$2:$C$22</c:f>
              <c:numCache>
                <c:formatCode>General</c:formatCode>
                <c:ptCount val="21"/>
                <c:pt idx="0">
                  <c:v>2354</c:v>
                </c:pt>
                <c:pt idx="1">
                  <c:v>2186</c:v>
                </c:pt>
                <c:pt idx="2">
                  <c:v>1527</c:v>
                </c:pt>
                <c:pt idx="3">
                  <c:v>1676</c:v>
                </c:pt>
                <c:pt idx="4">
                  <c:v>1451</c:v>
                </c:pt>
                <c:pt idx="5">
                  <c:v>2437</c:v>
                </c:pt>
                <c:pt idx="6">
                  <c:v>870</c:v>
                </c:pt>
                <c:pt idx="7">
                  <c:v>1819</c:v>
                </c:pt>
                <c:pt idx="8">
                  <c:v>1782</c:v>
                </c:pt>
                <c:pt idx="9">
                  <c:v>1333</c:v>
                </c:pt>
                <c:pt idx="10">
                  <c:v>2914</c:v>
                </c:pt>
                <c:pt idx="11">
                  <c:v>1935</c:v>
                </c:pt>
                <c:pt idx="12">
                  <c:v>1797</c:v>
                </c:pt>
                <c:pt idx="13">
                  <c:v>3779</c:v>
                </c:pt>
                <c:pt idx="14">
                  <c:v>1602</c:v>
                </c:pt>
                <c:pt idx="15">
                  <c:v>2758</c:v>
                </c:pt>
                <c:pt idx="16">
                  <c:v>2658</c:v>
                </c:pt>
                <c:pt idx="17">
                  <c:v>2070</c:v>
                </c:pt>
                <c:pt idx="18">
                  <c:v>2138</c:v>
                </c:pt>
                <c:pt idx="19">
                  <c:v>1936</c:v>
                </c:pt>
                <c:pt idx="20">
                  <c:v>1459</c:v>
                </c:pt>
              </c:numCache>
            </c:numRef>
          </c:val>
        </c:ser>
        <c:dLbls>
          <c:showLegendKey val="0"/>
          <c:showVal val="1"/>
          <c:showCatName val="0"/>
          <c:showSerName val="0"/>
          <c:showPercent val="0"/>
          <c:showBubbleSize val="0"/>
        </c:dLbls>
        <c:gapWidth val="219"/>
        <c:overlap val="-27"/>
        <c:axId val="154854912"/>
        <c:axId val="154856448"/>
      </c:barChart>
      <c:catAx>
        <c:axId val="15485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4856448"/>
        <c:crosses val="autoZero"/>
        <c:auto val="1"/>
        <c:lblAlgn val="ctr"/>
        <c:lblOffset val="100"/>
        <c:noMultiLvlLbl val="0"/>
      </c:catAx>
      <c:valAx>
        <c:axId val="15485644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48549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Sheet1!$B$1</c:f>
              <c:strCache>
                <c:ptCount val="1"/>
                <c:pt idx="0">
                  <c:v>完成任务点（人次）</c:v>
                </c:pt>
              </c:strCache>
            </c:strRef>
          </c:tx>
          <c:spPr>
            <a:ln w="28575" cap="rnd" cmpd="sng" algn="ctr">
              <a:solidFill>
                <a:schemeClr val="accent1"/>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Sheet1!$A$2:$A$22</c:f>
              <c:numCache>
                <c:formatCode>General</c:formatCode>
                <c:ptCount val="21"/>
                <c:pt idx="0">
                  <c:v>6.01</c:v>
                </c:pt>
                <c:pt idx="1">
                  <c:v>6.02</c:v>
                </c:pt>
                <c:pt idx="2">
                  <c:v>6.03</c:v>
                </c:pt>
                <c:pt idx="3">
                  <c:v>6.04</c:v>
                </c:pt>
                <c:pt idx="4">
                  <c:v>6.05</c:v>
                </c:pt>
                <c:pt idx="5">
                  <c:v>6.08</c:v>
                </c:pt>
                <c:pt idx="6">
                  <c:v>6.09</c:v>
                </c:pt>
                <c:pt idx="7" c:formatCode="0.00_ ">
                  <c:v>6.1</c:v>
                </c:pt>
                <c:pt idx="8">
                  <c:v>6.11</c:v>
                </c:pt>
                <c:pt idx="9">
                  <c:v>6.12</c:v>
                </c:pt>
                <c:pt idx="10">
                  <c:v>6.15</c:v>
                </c:pt>
                <c:pt idx="11">
                  <c:v>6.16</c:v>
                </c:pt>
                <c:pt idx="12">
                  <c:v>6.17</c:v>
                </c:pt>
                <c:pt idx="13">
                  <c:v>6.18</c:v>
                </c:pt>
                <c:pt idx="14">
                  <c:v>6.19</c:v>
                </c:pt>
                <c:pt idx="15">
                  <c:v>6.22</c:v>
                </c:pt>
                <c:pt idx="16">
                  <c:v>6.23</c:v>
                </c:pt>
                <c:pt idx="17">
                  <c:v>6.24</c:v>
                </c:pt>
                <c:pt idx="18">
                  <c:v>6.28</c:v>
                </c:pt>
                <c:pt idx="19">
                  <c:v>6.29</c:v>
                </c:pt>
                <c:pt idx="20" c:formatCode="0.00_ ">
                  <c:v>6.3</c:v>
                </c:pt>
              </c:numCache>
            </c:numRef>
          </c:cat>
          <c:val>
            <c:numRef>
              <c:f>Sheet1!$B$2:$B$22</c:f>
              <c:numCache>
                <c:formatCode>General</c:formatCode>
                <c:ptCount val="21"/>
                <c:pt idx="0">
                  <c:v>49316</c:v>
                </c:pt>
                <c:pt idx="1">
                  <c:v>48729</c:v>
                </c:pt>
                <c:pt idx="2">
                  <c:v>42284</c:v>
                </c:pt>
                <c:pt idx="3">
                  <c:v>38396</c:v>
                </c:pt>
                <c:pt idx="4">
                  <c:v>29050</c:v>
                </c:pt>
                <c:pt idx="5">
                  <c:v>42681</c:v>
                </c:pt>
                <c:pt idx="6">
                  <c:v>43200</c:v>
                </c:pt>
                <c:pt idx="7">
                  <c:v>44984</c:v>
                </c:pt>
                <c:pt idx="8">
                  <c:v>37845</c:v>
                </c:pt>
                <c:pt idx="9">
                  <c:v>35258</c:v>
                </c:pt>
                <c:pt idx="10">
                  <c:v>39059</c:v>
                </c:pt>
                <c:pt idx="11">
                  <c:v>40500</c:v>
                </c:pt>
                <c:pt idx="12">
                  <c:v>40593</c:v>
                </c:pt>
                <c:pt idx="13">
                  <c:v>40693</c:v>
                </c:pt>
                <c:pt idx="14">
                  <c:v>33851</c:v>
                </c:pt>
                <c:pt idx="15">
                  <c:v>31272</c:v>
                </c:pt>
                <c:pt idx="16">
                  <c:v>28492</c:v>
                </c:pt>
                <c:pt idx="17">
                  <c:v>21933</c:v>
                </c:pt>
                <c:pt idx="18">
                  <c:v>29345</c:v>
                </c:pt>
                <c:pt idx="19">
                  <c:v>30900</c:v>
                </c:pt>
                <c:pt idx="20">
                  <c:v>27890</c:v>
                </c:pt>
              </c:numCache>
            </c:numRef>
          </c:val>
          <c:smooth val="0"/>
        </c:ser>
        <c:ser>
          <c:idx val="1"/>
          <c:order val="1"/>
          <c:tx>
            <c:strRef>
              <c:f>Sheet1!$C$1</c:f>
              <c:strCache>
                <c:ptCount val="1"/>
                <c:pt idx="0">
                  <c:v>完成作业（人次）</c:v>
                </c:pt>
              </c:strCache>
            </c:strRef>
          </c:tx>
          <c:spPr>
            <a:ln w="28575" cap="rnd" cmpd="sng" algn="ctr">
              <a:solidFill>
                <a:schemeClr val="accent2"/>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Sheet1!$A$2:$A$22</c:f>
              <c:numCache>
                <c:formatCode>General</c:formatCode>
                <c:ptCount val="21"/>
                <c:pt idx="0">
                  <c:v>6.01</c:v>
                </c:pt>
                <c:pt idx="1">
                  <c:v>6.02</c:v>
                </c:pt>
                <c:pt idx="2">
                  <c:v>6.03</c:v>
                </c:pt>
                <c:pt idx="3">
                  <c:v>6.04</c:v>
                </c:pt>
                <c:pt idx="4">
                  <c:v>6.05</c:v>
                </c:pt>
                <c:pt idx="5">
                  <c:v>6.08</c:v>
                </c:pt>
                <c:pt idx="6">
                  <c:v>6.09</c:v>
                </c:pt>
                <c:pt idx="7" c:formatCode="0.00_ ">
                  <c:v>6.1</c:v>
                </c:pt>
                <c:pt idx="8">
                  <c:v>6.11</c:v>
                </c:pt>
                <c:pt idx="9">
                  <c:v>6.12</c:v>
                </c:pt>
                <c:pt idx="10">
                  <c:v>6.15</c:v>
                </c:pt>
                <c:pt idx="11">
                  <c:v>6.16</c:v>
                </c:pt>
                <c:pt idx="12">
                  <c:v>6.17</c:v>
                </c:pt>
                <c:pt idx="13">
                  <c:v>6.18</c:v>
                </c:pt>
                <c:pt idx="14">
                  <c:v>6.19</c:v>
                </c:pt>
                <c:pt idx="15">
                  <c:v>6.22</c:v>
                </c:pt>
                <c:pt idx="16">
                  <c:v>6.23</c:v>
                </c:pt>
                <c:pt idx="17">
                  <c:v>6.24</c:v>
                </c:pt>
                <c:pt idx="18">
                  <c:v>6.28</c:v>
                </c:pt>
                <c:pt idx="19">
                  <c:v>6.29</c:v>
                </c:pt>
                <c:pt idx="20" c:formatCode="0.00_ ">
                  <c:v>6.3</c:v>
                </c:pt>
              </c:numCache>
            </c:numRef>
          </c:cat>
          <c:val>
            <c:numRef>
              <c:f>Sheet1!$C$2:$C$22</c:f>
              <c:numCache>
                <c:formatCode>General</c:formatCode>
                <c:ptCount val="21"/>
                <c:pt idx="0">
                  <c:v>1906</c:v>
                </c:pt>
                <c:pt idx="1">
                  <c:v>2221</c:v>
                </c:pt>
                <c:pt idx="2">
                  <c:v>1598</c:v>
                </c:pt>
                <c:pt idx="3">
                  <c:v>1593</c:v>
                </c:pt>
                <c:pt idx="4">
                  <c:v>1547</c:v>
                </c:pt>
                <c:pt idx="5">
                  <c:v>1739</c:v>
                </c:pt>
                <c:pt idx="6">
                  <c:v>1870</c:v>
                </c:pt>
                <c:pt idx="7">
                  <c:v>1501</c:v>
                </c:pt>
                <c:pt idx="8">
                  <c:v>1735</c:v>
                </c:pt>
                <c:pt idx="9">
                  <c:v>1735</c:v>
                </c:pt>
                <c:pt idx="10">
                  <c:v>1785</c:v>
                </c:pt>
                <c:pt idx="11">
                  <c:v>2301</c:v>
                </c:pt>
                <c:pt idx="12">
                  <c:v>1780</c:v>
                </c:pt>
                <c:pt idx="13">
                  <c:v>2562</c:v>
                </c:pt>
                <c:pt idx="14">
                  <c:v>3034</c:v>
                </c:pt>
                <c:pt idx="15">
                  <c:v>3167</c:v>
                </c:pt>
                <c:pt idx="16">
                  <c:v>3336</c:v>
                </c:pt>
                <c:pt idx="17">
                  <c:v>3961</c:v>
                </c:pt>
                <c:pt idx="18">
                  <c:v>3245</c:v>
                </c:pt>
                <c:pt idx="19">
                  <c:v>2857</c:v>
                </c:pt>
                <c:pt idx="20">
                  <c:v>1877</c:v>
                </c:pt>
              </c:numCache>
            </c:numRef>
          </c:val>
          <c:smooth val="0"/>
        </c:ser>
        <c:dLbls>
          <c:showLegendKey val="0"/>
          <c:showVal val="1"/>
          <c:showCatName val="0"/>
          <c:showSerName val="0"/>
          <c:showPercent val="0"/>
          <c:showBubbleSize val="0"/>
        </c:dLbls>
        <c:marker val="0"/>
        <c:smooth val="0"/>
        <c:axId val="154904064"/>
        <c:axId val="154905600"/>
      </c:lineChart>
      <c:catAx>
        <c:axId val="15490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4905600"/>
        <c:crosses val="autoZero"/>
        <c:auto val="1"/>
        <c:lblAlgn val="ctr"/>
        <c:lblOffset val="100"/>
        <c:noMultiLvlLbl val="0"/>
      </c:catAx>
      <c:valAx>
        <c:axId val="15490560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49040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77F7E1-3246-405B-B870-C12C70ACD8E1}">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15</Pages>
  <Words>700</Words>
  <Characters>3994</Characters>
  <Lines>33</Lines>
  <Paragraphs>9</Paragraphs>
  <TotalTime>4</TotalTime>
  <ScaleCrop>false</ScaleCrop>
  <LinksUpToDate>false</LinksUpToDate>
  <CharactersWithSpaces>4685</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2020-04-04T14:24:00Z</dcterms:created>
  <dc:creator>111yuhongtao@163.com</dc:creator>
  <cp:lastModifiedBy>Administrator</cp:lastModifiedBy>
  <dcterms:modified xsi:type="dcterms:W3CDTF">2020-07-10T08:42:39Z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