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  <w:t>赤峰学院第25届全国推广普通话宣传周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  <w:t>活动方案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2022年9月12日至18日是第25届全国推广普通话宣传周（以下简称推普周）。根据《教育部等九部门关于开展第25届全国推广普通话宣传周活动的通知》（教语用函〔2022〕1号）文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件精神，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为做好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我校本届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推普周活动，制定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活动方案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一、指导思想</w:t>
      </w:r>
      <w:bookmarkStart w:id="0" w:name="_GoBack"/>
      <w:bookmarkEnd w:id="0"/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以习近平新时代中国特色社会主义思想为指导，深入贯彻党的十九大和十九届历次全会精神，立足新发展阶段，贯彻新发展理念，构建新发展格局，推动教育和语言文字事业高质量发展，以落实立德树人根本任务和铸牢中华民族共同体意识为主线，加大民族地区、农村地区国家通用语言文字推广力度，将巩固拓展推普脱贫攻坚成果同推普助力乡村振兴有效衔接，全面提高国家通用语言文字普及程度和质量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二、活动主题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本届推普周主题为：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推广普通话，喜迎二十大。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2022年是进入全面建设社会主义现代化国家、向第二个百年奋斗目标进军新征程的重要一年，我们党将召开二十大。本届推普周紧紧围绕迎接宣传贯彻党的二十大，坚持稳中求进、守正创新，谋划推进相关活动。大力宣传在习近平新时代中国特色社会主义思想指导下，在以习近平同志为核心的党中央坚强领导下，语言文字工作取得的历史性成就、发生的历史性变革，着重展示推普周举办25年来特别是党的十八大以来，推广普及国家通用语言文字对个人、社会、国家产生的真切变化，体现语言文字工作服务铸牢中华民族共同体意识、助力乡村振兴的重要作用，为党的二十大胜利召开营造浓厚氛围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三、组织机构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学校成立推广普通话宣传周工作领导小组，统筹部署、组织协调本届推普周相关活动。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组  长：徐振军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left="1918" w:leftChars="304" w:hanging="1280" w:hangingChars="4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副组长：永胜、任蕾、张明、孙永兰、杨晓坡、葛根萨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茹拉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成员：李化宇、郑黎明、孙宁、常颖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、刘文波、于芳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本届推广普通话宣传周活动由赤峰学院语言文字工作委员会主办，党委宣传部、教务处、团委、文学院、教师教育学院、国际教育学院共同承办；由赤峰学院语言文字工作委员会办公室负责协调日常具体工作。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四、活动内容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校内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宣传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.在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校园内各楼区、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餐厅等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位置摆放推普周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海报、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条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幅、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标识牌，并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制作“语言文字工作宣传栏”及展板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普法宣传、普通话相关知识、宣传小漫画、各类职业普通话要求标准、常见问题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问答等知识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承办单位：教务处）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学校和二级学院的官方微信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公众号上推送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推普工作相关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视频及文章。（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承办单位：宣传部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、各二级学院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在校园内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LED大屏幕播放全国推普公益广告视频及宣传图片、宣传片。（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承办单位：宣传部）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.以“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推广普通话，喜迎二十大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”为主题，在早晚课前30分钟及课间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普法宣传、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中华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经典诵读等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方面的广播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，营造校内推普氛围。（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承办单位：团委）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5.举办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第二届赤峰学院“啄木鸟在行动，寻找错别字”主题纠错活动。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承办单位：文学院、教务处）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举办赤峰学院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“推广普通话，喜迎二十大”主题征文比赛。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承办单位：文学院、教务处）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举办第一届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赤峰学院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“弘扬中华优秀文化”主题书法比赛。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教师教育学院、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教务处）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8.发布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赤峰学院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第25届全国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推广普通话宣传周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活动宣传片。（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承办单位：教务处）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（二）校外宣传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1.深入赤峰市周边的部分农村牧区开展“推普助力乡村振兴”系列活动。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承办单位：教务处、文学院）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2.深入赤峰市周边地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的部分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中小学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及幼儿园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，宣传推普知识，发放推普宣传手册，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赠送书籍与学习用品，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规范汉字书写与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推广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普通话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讲座。（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承办单位：教务处、文学院）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赤峰市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周边地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部分企事业单位开展普通话培训、规范字书写等相关活动。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承办单位：教务处、文学院）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赤峰市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周边部分社区开展中华经典诵读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相关活动。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承办单位：国际教育学院、文学院、教务处）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left="638" w:leftChars="304" w:firstLine="0" w:firstLine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、工作要求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（一）提高认识，加大宣传。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要充分认识国家通用语言文字的法律地位，以弘扬社会主义核心价值观为导向，积极动员全体师生开展好宣传活动，发挥好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以高校为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主阵地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辐射地区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的示范带头作用。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（二）突出主题，创新形式。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单位紧扣本届推普周主题，通过多种形式，多种媒介，结合各自特点与优势，自主开展规模合理、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各具特色、形式新颖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的推普宣传实践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教育活动，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充分发挥语言文字工作基础阵地作用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（三）加强领导，抓好落实。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班子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要认真部署推普周宣传活动，制定本单位的活动方案，明确责任和分工，为宣传工作提供大力支持。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</w:t>
      </w:r>
    </w:p>
    <w:p>
      <w:pPr>
        <w:keepLines w:val="0"/>
        <w:widowControl w:val="0"/>
        <w:snapToGrid/>
        <w:spacing w:before="156" w:beforeAutospacing="0" w:after="0" w:afterAutospacing="0" w:line="560" w:lineRule="exact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56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56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56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5440" w:firstLineChars="17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4300E3-8897-45C7-93C7-27D78FA424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66AEC5-AF2F-4E58-94E0-A7D56983DC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B934D4-3FFA-4332-8B0A-4325329DD3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2192EE-7967-4582-BF56-5940B1D4A1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7C00A0-9599-403D-B3F2-DF25821567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E9B200B"/>
    <w:rsid w:val="022C1A0A"/>
    <w:rsid w:val="02BE582C"/>
    <w:rsid w:val="036B5534"/>
    <w:rsid w:val="03C9092D"/>
    <w:rsid w:val="03F35283"/>
    <w:rsid w:val="04F306C6"/>
    <w:rsid w:val="05206DF9"/>
    <w:rsid w:val="07581581"/>
    <w:rsid w:val="0AFD792C"/>
    <w:rsid w:val="0B0051E3"/>
    <w:rsid w:val="0BC646F6"/>
    <w:rsid w:val="0DF257E9"/>
    <w:rsid w:val="0E9B200B"/>
    <w:rsid w:val="0FDC19E8"/>
    <w:rsid w:val="11561326"/>
    <w:rsid w:val="12F71682"/>
    <w:rsid w:val="133E6515"/>
    <w:rsid w:val="139B72A1"/>
    <w:rsid w:val="13A1402A"/>
    <w:rsid w:val="151A22C0"/>
    <w:rsid w:val="16E82FA6"/>
    <w:rsid w:val="189C281B"/>
    <w:rsid w:val="1B104E12"/>
    <w:rsid w:val="1C97580E"/>
    <w:rsid w:val="1FC63B1B"/>
    <w:rsid w:val="21C650C6"/>
    <w:rsid w:val="22957DD3"/>
    <w:rsid w:val="22E542B8"/>
    <w:rsid w:val="24561911"/>
    <w:rsid w:val="285A74F6"/>
    <w:rsid w:val="2A416B26"/>
    <w:rsid w:val="2D6C3F53"/>
    <w:rsid w:val="2D7444DD"/>
    <w:rsid w:val="2F4A02C4"/>
    <w:rsid w:val="30CE560E"/>
    <w:rsid w:val="30DB11A6"/>
    <w:rsid w:val="32797262"/>
    <w:rsid w:val="32A23532"/>
    <w:rsid w:val="35CD57D5"/>
    <w:rsid w:val="369E0EF6"/>
    <w:rsid w:val="36D14E27"/>
    <w:rsid w:val="39D12E4A"/>
    <w:rsid w:val="39F636E9"/>
    <w:rsid w:val="3C3E65DD"/>
    <w:rsid w:val="3E3E6B98"/>
    <w:rsid w:val="40B402D4"/>
    <w:rsid w:val="423544BC"/>
    <w:rsid w:val="43811983"/>
    <w:rsid w:val="43C35BF6"/>
    <w:rsid w:val="440F113B"/>
    <w:rsid w:val="44B02B15"/>
    <w:rsid w:val="487C2EB0"/>
    <w:rsid w:val="48817704"/>
    <w:rsid w:val="48BC175E"/>
    <w:rsid w:val="49930E2B"/>
    <w:rsid w:val="4A66523E"/>
    <w:rsid w:val="4BCA2454"/>
    <w:rsid w:val="4CC9421B"/>
    <w:rsid w:val="4F3A1A5A"/>
    <w:rsid w:val="5099655E"/>
    <w:rsid w:val="51F872B4"/>
    <w:rsid w:val="51FC6DA4"/>
    <w:rsid w:val="54A13E2A"/>
    <w:rsid w:val="55BF28D2"/>
    <w:rsid w:val="567D34E4"/>
    <w:rsid w:val="57081D47"/>
    <w:rsid w:val="57C86850"/>
    <w:rsid w:val="59AC5554"/>
    <w:rsid w:val="5AE24947"/>
    <w:rsid w:val="5B9149A6"/>
    <w:rsid w:val="5B9B6EA9"/>
    <w:rsid w:val="5CB5471F"/>
    <w:rsid w:val="5CD75A8B"/>
    <w:rsid w:val="5D7B72BA"/>
    <w:rsid w:val="604C7149"/>
    <w:rsid w:val="6106379C"/>
    <w:rsid w:val="62AF08A3"/>
    <w:rsid w:val="66385EF4"/>
    <w:rsid w:val="66BE2423"/>
    <w:rsid w:val="6853564F"/>
    <w:rsid w:val="69B8584F"/>
    <w:rsid w:val="6B330077"/>
    <w:rsid w:val="6BFF7765"/>
    <w:rsid w:val="6CFA1CDB"/>
    <w:rsid w:val="6EED1AF7"/>
    <w:rsid w:val="6FA36659"/>
    <w:rsid w:val="70A259DE"/>
    <w:rsid w:val="7234149C"/>
    <w:rsid w:val="73F9007C"/>
    <w:rsid w:val="77790507"/>
    <w:rsid w:val="79110AD8"/>
    <w:rsid w:val="79C21DD2"/>
    <w:rsid w:val="7B8B2DC3"/>
    <w:rsid w:val="7CFE5817"/>
    <w:rsid w:val="7D807FDA"/>
    <w:rsid w:val="7E203B02"/>
    <w:rsid w:val="7F50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2022-09-05T05:07:00Z</dcterms:created>
  <dc:creator>任蕾</dc:creator>
  <cp:lastModifiedBy>任蕾</cp:lastModifiedBy>
  <dcterms:modified xsi:type="dcterms:W3CDTF">2022-09-07T09:05:21Z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EAD0898BAB664CF3828EC5D41A5559D9</vt:lpwstr>
  </property>
</Properties>
</file>