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44"/>
          <w:szCs w:val="52"/>
        </w:rPr>
      </w:pPr>
      <w:bookmarkStart w:id="17" w:name="_GoBack"/>
      <w:bookmarkEnd w:id="17"/>
    </w:p>
    <w:p>
      <w:pPr>
        <w:rPr>
          <w:rFonts w:ascii="黑体" w:hAnsi="黑体" w:eastAsia="黑体" w:cs="黑体"/>
          <w:sz w:val="44"/>
          <w:szCs w:val="52"/>
        </w:rPr>
      </w:pPr>
    </w:p>
    <w:p>
      <w:pPr>
        <w:rPr>
          <w:rFonts w:ascii="黑体" w:hAnsi="黑体" w:eastAsia="黑体" w:cs="黑体"/>
          <w:sz w:val="44"/>
          <w:szCs w:val="52"/>
        </w:rPr>
      </w:pPr>
    </w:p>
    <w:p>
      <w:pPr>
        <w:rPr>
          <w:rFonts w:ascii="黑体" w:hAnsi="黑体" w:eastAsia="黑体" w:cs="黑体"/>
          <w:sz w:val="44"/>
          <w:szCs w:val="5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52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52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52"/>
          <w:lang w:val="en-US" w:eastAsia="zh-CN"/>
        </w:rPr>
        <w:t>3</w:t>
      </w:r>
      <w:r>
        <w:rPr>
          <w:rFonts w:hint="eastAsia" w:ascii="方正小标宋简体" w:hAnsi="方正小标宋简体" w:eastAsia="方正小标宋简体" w:cs="方正小标宋简体"/>
          <w:sz w:val="44"/>
          <w:szCs w:val="52"/>
        </w:rPr>
        <w:t>年赤峰学院本科毕业论文（设计）</w:t>
      </w:r>
    </w:p>
    <w:p>
      <w:pPr>
        <w:jc w:val="center"/>
        <w:rPr>
          <w:rFonts w:ascii="方正公文小标宋" w:hAnsi="方正公文小标宋" w:eastAsia="方正公文小标宋" w:cs="方正公文小标宋"/>
          <w:sz w:val="44"/>
          <w:szCs w:val="52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52"/>
        </w:rPr>
        <w:t>抽检报告</w:t>
      </w:r>
    </w:p>
    <w:p>
      <w:pPr>
        <w:rPr>
          <w:rFonts w:ascii="方正公文小标宋" w:hAnsi="方正公文小标宋" w:eastAsia="方正公文小标宋" w:cs="方正公文小标宋"/>
          <w:sz w:val="44"/>
          <w:szCs w:val="52"/>
        </w:rPr>
      </w:pPr>
    </w:p>
    <w:p>
      <w:pPr>
        <w:rPr>
          <w:rFonts w:ascii="方正公文小标宋" w:hAnsi="方正公文小标宋" w:eastAsia="方正公文小标宋" w:cs="方正公文小标宋"/>
          <w:sz w:val="44"/>
          <w:szCs w:val="52"/>
        </w:rPr>
      </w:pPr>
    </w:p>
    <w:p>
      <w:pPr>
        <w:rPr>
          <w:rFonts w:ascii="方正公文小标宋" w:hAnsi="方正公文小标宋" w:eastAsia="方正公文小标宋" w:cs="方正公文小标宋"/>
          <w:sz w:val="44"/>
          <w:szCs w:val="52"/>
        </w:rPr>
      </w:pPr>
    </w:p>
    <w:p>
      <w:pPr>
        <w:rPr>
          <w:rFonts w:ascii="方正公文小标宋" w:hAnsi="方正公文小标宋" w:eastAsia="方正公文小标宋" w:cs="方正公文小标宋"/>
          <w:sz w:val="44"/>
          <w:szCs w:val="52"/>
        </w:rPr>
      </w:pPr>
    </w:p>
    <w:p>
      <w:pPr>
        <w:jc w:val="center"/>
        <w:rPr>
          <w:rFonts w:ascii="黑体" w:hAnsi="黑体" w:eastAsia="黑体" w:cs="黑体"/>
          <w:sz w:val="28"/>
          <w:szCs w:val="36"/>
        </w:rPr>
      </w:pPr>
      <w:r>
        <w:rPr>
          <w:rFonts w:hint="eastAsia" w:ascii="黑体" w:hAnsi="黑体" w:eastAsia="黑体" w:cs="黑体"/>
          <w:sz w:val="32"/>
          <w:szCs w:val="40"/>
          <w:lang w:val="en-US" w:eastAsia="zh-CN"/>
        </w:rPr>
        <w:t>_____</w:t>
      </w:r>
      <w:r>
        <w:rPr>
          <w:rFonts w:hint="eastAsia" w:ascii="黑体" w:hAnsi="黑体" w:eastAsia="黑体" w:cs="黑体"/>
          <w:sz w:val="32"/>
          <w:szCs w:val="40"/>
        </w:rPr>
        <w:t>年</w:t>
      </w:r>
      <w:r>
        <w:rPr>
          <w:rFonts w:hint="eastAsia" w:ascii="黑体" w:hAnsi="黑体" w:eastAsia="黑体" w:cs="黑体"/>
          <w:sz w:val="32"/>
          <w:szCs w:val="40"/>
          <w:lang w:val="en-US" w:eastAsia="zh-CN"/>
        </w:rPr>
        <w:t>_____</w:t>
      </w:r>
      <w:r>
        <w:rPr>
          <w:rFonts w:hint="eastAsia" w:ascii="黑体" w:hAnsi="黑体" w:eastAsia="黑体" w:cs="黑体"/>
          <w:sz w:val="32"/>
          <w:szCs w:val="40"/>
        </w:rPr>
        <w:t>月</w:t>
      </w:r>
    </w:p>
    <w:sdt>
      <w:sdtPr>
        <w:rPr>
          <w:rFonts w:ascii="宋体" w:hAnsi="宋体" w:eastAsia="宋体"/>
        </w:rPr>
        <w:id w:val="147470611"/>
        <w:docPartObj>
          <w:docPartGallery w:val="Table of Contents"/>
          <w:docPartUnique/>
        </w:docPartObj>
      </w:sdtPr>
      <w:sdtEndPr>
        <w:rPr>
          <w:rFonts w:ascii="宋体" w:hAnsi="宋体" w:eastAsia="宋体"/>
        </w:rPr>
      </w:sdtEndPr>
      <w:sdtContent>
        <w:p>
          <w:pPr>
            <w:jc w:val="center"/>
            <w:rPr>
              <w:rFonts w:ascii="宋体" w:hAnsi="宋体" w:eastAsia="宋体"/>
            </w:rPr>
          </w:pPr>
        </w:p>
        <w:p>
          <w:pPr>
            <w:rPr>
              <w:rFonts w:ascii="宋体" w:hAnsi="宋体" w:eastAsia="宋体"/>
            </w:rPr>
          </w:pPr>
          <w:r>
            <w:br w:type="page"/>
          </w:r>
        </w:p>
        <w:p>
          <w:pPr>
            <w:jc w:val="center"/>
            <w:rPr>
              <w:rFonts w:ascii="宋体" w:hAnsi="宋体" w:eastAsia="宋体"/>
            </w:rPr>
          </w:pPr>
        </w:p>
        <w:p>
          <w:pPr>
            <w:jc w:val="center"/>
            <w:rPr>
              <w:rFonts w:ascii="黑体" w:hAnsi="黑体" w:eastAsia="黑体" w:cs="黑体"/>
              <w:sz w:val="40"/>
              <w:szCs w:val="48"/>
            </w:rPr>
          </w:pPr>
          <w:r>
            <w:rPr>
              <w:rFonts w:hint="eastAsia" w:ascii="黑体" w:hAnsi="黑体" w:eastAsia="黑体" w:cs="黑体"/>
              <w:sz w:val="40"/>
              <w:szCs w:val="48"/>
            </w:rPr>
            <w:t>目  录</w:t>
          </w:r>
        </w:p>
        <w:p>
          <w:pPr>
            <w:jc w:val="center"/>
            <w:rPr>
              <w:rFonts w:ascii="宋体" w:hAnsi="宋体" w:eastAsia="宋体"/>
            </w:rPr>
          </w:pPr>
        </w:p>
        <w:p>
          <w:pPr>
            <w:spacing w:line="360" w:lineRule="auto"/>
            <w:jc w:val="center"/>
            <w:rPr>
              <w:rFonts w:ascii="宋体" w:hAnsi="宋体" w:eastAsia="宋体"/>
            </w:rPr>
          </w:pPr>
        </w:p>
        <w:p>
          <w:pPr>
            <w:pStyle w:val="11"/>
            <w:tabs>
              <w:tab w:val="right" w:leader="dot" w:pos="15388"/>
            </w:tabs>
            <w:rPr>
              <w:rFonts w:asciiTheme="minorHAnsi" w:hAnsiTheme="minorHAnsi"/>
              <w:sz w:val="22"/>
            </w:rPr>
          </w:pPr>
          <w:r>
            <w:fldChar w:fldCharType="begin"/>
          </w:r>
          <w:r>
            <w:instrText xml:space="preserve">TOC \o "1-2" \h \u</w:instrText>
          </w:r>
          <w:r>
            <w:rPr>
              <w:rFonts w:hint="eastAsia" w:ascii="仿宋_GB2312" w:hAnsi="仿宋_GB2312" w:eastAsia="仿宋_GB2312" w:cs="仿宋_GB2312"/>
              <w:sz w:val="24"/>
            </w:rPr>
            <w:fldChar w:fldCharType="separate"/>
          </w:r>
          <w:r>
            <w:fldChar w:fldCharType="begin"/>
          </w:r>
          <w:r>
            <w:instrText xml:space="preserve"> HYPERLINK \l "_Toc256000000" </w:instrText>
          </w:r>
          <w:r>
            <w:fldChar w:fldCharType="separate"/>
          </w:r>
          <w:r>
            <w:rPr>
              <w:rStyle w:val="6"/>
              <w:rFonts w:hint="eastAsia"/>
            </w:rPr>
            <w:t>一、基本情况</w:t>
          </w:r>
          <w:r>
            <w:tab/>
          </w:r>
          <w:r>
            <w:fldChar w:fldCharType="begin"/>
          </w:r>
          <w:r>
            <w:instrText xml:space="preserve"> PAGEREF _Toc256000000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15388"/>
            </w:tabs>
            <w:rPr>
              <w:rFonts w:asciiTheme="minorHAnsi" w:hAnsiTheme="minorHAnsi"/>
              <w:sz w:val="22"/>
            </w:rPr>
          </w:pPr>
          <w:r>
            <w:fldChar w:fldCharType="begin"/>
          </w:r>
          <w:r>
            <w:instrText xml:space="preserve"> HYPERLINK \l "_Toc256000001" </w:instrText>
          </w:r>
          <w:r>
            <w:fldChar w:fldCharType="separate"/>
          </w:r>
          <w:r>
            <w:rPr>
              <w:rStyle w:val="6"/>
              <w:rFonts w:hint="eastAsia"/>
            </w:rPr>
            <w:t>二、评议结果</w:t>
          </w:r>
          <w:r>
            <w:tab/>
          </w:r>
          <w:r>
            <w:fldChar w:fldCharType="begin"/>
          </w:r>
          <w:r>
            <w:instrText xml:space="preserve"> PAGEREF _Toc256000001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15388"/>
            </w:tabs>
            <w:rPr>
              <w:rFonts w:asciiTheme="minorHAnsi" w:hAnsiTheme="minorHAnsi"/>
              <w:sz w:val="22"/>
            </w:rPr>
          </w:pPr>
          <w:r>
            <w:fldChar w:fldCharType="begin"/>
          </w:r>
          <w:r>
            <w:instrText xml:space="preserve"> HYPERLINK \l "_Toc256000002" </w:instrText>
          </w:r>
          <w:r>
            <w:fldChar w:fldCharType="separate"/>
          </w:r>
          <w:r>
            <w:rPr>
              <w:rStyle w:val="6"/>
              <w:rFonts w:hint="eastAsia" w:ascii="方正楷体_GB2312" w:hAnsi="方正楷体_GB2312" w:eastAsia="方正楷体_GB2312" w:cs="方正楷体_GB2312"/>
            </w:rPr>
            <w:t>（一）评议结果总体情况</w:t>
          </w:r>
          <w:r>
            <w:tab/>
          </w:r>
          <w:r>
            <w:fldChar w:fldCharType="begin"/>
          </w:r>
          <w:r>
            <w:instrText xml:space="preserve"> PAGEREF _Toc256000002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15388"/>
            </w:tabs>
            <w:rPr>
              <w:rFonts w:asciiTheme="minorHAnsi" w:hAnsiTheme="minorHAnsi"/>
              <w:sz w:val="22"/>
            </w:rPr>
          </w:pPr>
          <w:r>
            <w:fldChar w:fldCharType="begin"/>
          </w:r>
          <w:r>
            <w:instrText xml:space="preserve"> HYPERLINK \l "_Toc256000003" </w:instrText>
          </w:r>
          <w:r>
            <w:fldChar w:fldCharType="separate"/>
          </w:r>
          <w:r>
            <w:rPr>
              <w:rStyle w:val="6"/>
              <w:rFonts w:hint="eastAsia" w:ascii="方正楷体_GB2312" w:hAnsi="方正楷体_GB2312" w:eastAsia="方正楷体_GB2312" w:cs="方正楷体_GB2312"/>
            </w:rPr>
            <w:t>（二）按学位类型统计</w:t>
          </w:r>
          <w:r>
            <w:tab/>
          </w:r>
          <w:r>
            <w:fldChar w:fldCharType="begin"/>
          </w:r>
          <w:r>
            <w:instrText xml:space="preserve"> PAGEREF _Toc256000003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15388"/>
            </w:tabs>
            <w:rPr>
              <w:rFonts w:asciiTheme="minorHAnsi" w:hAnsiTheme="minorHAnsi"/>
              <w:sz w:val="22"/>
            </w:rPr>
          </w:pPr>
          <w:r>
            <w:fldChar w:fldCharType="begin"/>
          </w:r>
          <w:r>
            <w:instrText xml:space="preserve"> HYPERLINK \l "_Toc256000004" </w:instrText>
          </w:r>
          <w:r>
            <w:fldChar w:fldCharType="separate"/>
          </w:r>
          <w:r>
            <w:rPr>
              <w:rStyle w:val="6"/>
              <w:rFonts w:hint="eastAsia" w:ascii="方正楷体_GB2312" w:hAnsi="方正楷体_GB2312" w:eastAsia="方正楷体_GB2312" w:cs="方正楷体_GB2312"/>
            </w:rPr>
            <w:t>（三）按学院统计</w:t>
          </w:r>
          <w:r>
            <w:tab/>
          </w:r>
          <w:r>
            <w:fldChar w:fldCharType="begin"/>
          </w:r>
          <w:r>
            <w:instrText xml:space="preserve"> PAGEREF _Toc256000004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15388"/>
            </w:tabs>
            <w:rPr>
              <w:rFonts w:asciiTheme="minorHAnsi" w:hAnsiTheme="minorHAnsi"/>
              <w:sz w:val="22"/>
            </w:rPr>
          </w:pPr>
          <w:r>
            <w:fldChar w:fldCharType="begin"/>
          </w:r>
          <w:r>
            <w:instrText xml:space="preserve"> HYPERLINK \l "_Toc256000005" </w:instrText>
          </w:r>
          <w:r>
            <w:fldChar w:fldCharType="separate"/>
          </w:r>
          <w:r>
            <w:rPr>
              <w:rStyle w:val="6"/>
              <w:rFonts w:hint="eastAsia" w:ascii="方正楷体_GB2312" w:hAnsi="方正楷体_GB2312" w:eastAsia="方正楷体_GB2312" w:cs="方正楷体_GB2312"/>
            </w:rPr>
            <w:t>（四）按专业统计</w:t>
          </w:r>
          <w:r>
            <w:tab/>
          </w:r>
          <w:r>
            <w:fldChar w:fldCharType="begin"/>
          </w:r>
          <w:r>
            <w:instrText xml:space="preserve"> PAGEREF _Toc256000005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15388"/>
            </w:tabs>
            <w:rPr>
              <w:rFonts w:asciiTheme="minorHAnsi" w:hAnsiTheme="minorHAnsi"/>
              <w:sz w:val="22"/>
            </w:rPr>
          </w:pPr>
          <w:r>
            <w:fldChar w:fldCharType="begin"/>
          </w:r>
          <w:r>
            <w:instrText xml:space="preserve"> HYPERLINK \l "_Toc256000006" </w:instrText>
          </w:r>
          <w:r>
            <w:fldChar w:fldCharType="separate"/>
          </w:r>
          <w:r>
            <w:rPr>
              <w:rStyle w:val="6"/>
              <w:rFonts w:hint="eastAsia" w:ascii="方正楷体_GB2312" w:hAnsi="方正楷体_GB2312" w:eastAsia="方正楷体_GB2312" w:cs="方正楷体_GB2312"/>
            </w:rPr>
            <w:t>（五）按论文类型统计</w:t>
          </w:r>
          <w:r>
            <w:tab/>
          </w:r>
          <w:r>
            <w:fldChar w:fldCharType="begin"/>
          </w:r>
          <w:r>
            <w:instrText xml:space="preserve"> PAGEREF _Toc256000006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15388"/>
            </w:tabs>
            <w:rPr>
              <w:rFonts w:asciiTheme="minorHAnsi" w:hAnsiTheme="minorHAnsi"/>
              <w:sz w:val="22"/>
            </w:rPr>
          </w:pPr>
          <w:r>
            <w:fldChar w:fldCharType="begin"/>
          </w:r>
          <w:r>
            <w:instrText xml:space="preserve"> HYPERLINK \l "_Toc256000007" </w:instrText>
          </w:r>
          <w:r>
            <w:fldChar w:fldCharType="separate"/>
          </w:r>
          <w:r>
            <w:rPr>
              <w:rStyle w:val="6"/>
              <w:rFonts w:hint="eastAsia" w:ascii="方正楷体_GB2312" w:hAnsi="方正楷体_GB2312" w:eastAsia="方正楷体_GB2312" w:cs="方正楷体_GB2312"/>
            </w:rPr>
            <w:t>（六）往届对比</w:t>
          </w:r>
          <w:r>
            <w:tab/>
          </w:r>
          <w:r>
            <w:fldChar w:fldCharType="begin"/>
          </w:r>
          <w:r>
            <w:instrText xml:space="preserve"> PAGEREF _Toc256000007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fldChar w:fldCharType="end"/>
          </w:r>
        </w:p>
        <w:p>
          <w:pPr>
            <w:spacing w:line="360" w:lineRule="auto"/>
          </w:pPr>
          <w:r>
            <w:rPr>
              <w:rFonts w:hint="eastAsia" w:ascii="仿宋_GB2312" w:hAnsi="仿宋_GB2312" w:eastAsia="仿宋_GB2312" w:cs="仿宋_GB2312"/>
            </w:rPr>
            <w:fldChar w:fldCharType="end"/>
          </w:r>
        </w:p>
      </w:sdtContent>
    </w:sdt>
    <w:p>
      <w:bookmarkStart w:id="0" w:name="_Toc14535"/>
      <w:r>
        <w:br w:type="page"/>
      </w:r>
    </w:p>
    <w:p>
      <w:pPr>
        <w:sectPr>
          <w:footerReference r:id="rId6" w:type="first"/>
          <w:footerReference r:id="rId4" w:type="default"/>
          <w:footerReference r:id="rId5" w:type="even"/>
          <w:pgSz w:w="16838" w:h="11906" w:orient="landscape"/>
          <w:pgMar w:top="720" w:right="720" w:bottom="720" w:left="720" w:header="851" w:footer="992" w:gutter="0"/>
          <w:pgNumType w:start="1"/>
          <w:cols w:space="425" w:num="1"/>
          <w:titlePg/>
          <w:docGrid w:type="lines" w:linePitch="312" w:charSpace="0"/>
        </w:sectPr>
      </w:pPr>
    </w:p>
    <w:p>
      <w:pPr>
        <w:pStyle w:val="7"/>
      </w:pPr>
      <w:bookmarkStart w:id="1" w:name="_Toc256000000"/>
      <w:r>
        <w:rPr>
          <w:rFonts w:hint="eastAsia"/>
        </w:rPr>
        <w:t>一、基本情况</w:t>
      </w:r>
      <w:bookmarkEnd w:id="0"/>
      <w:bookmarkEnd w:id="1"/>
    </w:p>
    <w:p>
      <w:pPr>
        <w:spacing w:line="360" w:lineRule="auto"/>
        <w:ind w:firstLine="664" w:firstLineChars="200"/>
        <w:rPr>
          <w:rFonts w:hint="eastAsia" w:ascii="仿宋_GB2312" w:hAnsi="仿宋_GB2312" w:eastAsia="仿宋_GB2312" w:cs="仿宋_GB2312"/>
          <w:spacing w:val="6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6"/>
          <w:sz w:val="32"/>
          <w:szCs w:val="32"/>
          <w:lang w:val="en-US" w:eastAsia="zh-CN"/>
        </w:rPr>
        <w:t>2023年内蒙古自治区本科毕业论文抽检工作，赤峰学院抽检学院总数20个,抽检专业总数50个，抽检论文共81篇。其中，未上传论文2篇，送审论文79篇。</w:t>
      </w:r>
    </w:p>
    <w:p>
      <w:pPr>
        <w:spacing w:line="360" w:lineRule="auto"/>
        <w:ind w:firstLine="664" w:firstLineChars="200"/>
        <w:rPr>
          <w:rFonts w:hint="eastAsia" w:ascii="仿宋_GB2312" w:hAnsi="仿宋_GB2312" w:eastAsia="仿宋_GB2312" w:cs="仿宋_GB2312"/>
          <w:spacing w:val="6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6"/>
          <w:sz w:val="32"/>
          <w:szCs w:val="32"/>
          <w:lang w:val="en-US" w:eastAsia="zh-CN"/>
        </w:rPr>
        <w:t>初评阶段，评审论文共79篇。其中，合格论文共60篇，“存在问题毕业论文”共7篇，进入复评论文共12篇。</w:t>
      </w:r>
    </w:p>
    <w:p>
      <w:pPr>
        <w:spacing w:line="360" w:lineRule="auto"/>
        <w:ind w:firstLine="664" w:firstLineChars="200"/>
        <w:rPr>
          <w:rFonts w:hint="eastAsia" w:ascii="仿宋_GB2312" w:hAnsi="仿宋_GB2312" w:eastAsia="仿宋_GB2312" w:cs="仿宋_GB2312"/>
          <w:spacing w:val="6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6"/>
          <w:sz w:val="32"/>
          <w:szCs w:val="32"/>
          <w:lang w:val="en-US" w:eastAsia="zh-CN"/>
        </w:rPr>
        <w:t>复评阶段，评审论文共12篇。其中，合格论文共9篇，“存在问题毕业论文”共3篇。</w:t>
      </w:r>
    </w:p>
    <w:p>
      <w:pPr>
        <w:spacing w:line="360" w:lineRule="auto"/>
        <w:ind w:firstLine="664" w:firstLineChars="200"/>
        <w:rPr>
          <w:rFonts w:hint="eastAsia" w:ascii="仿宋_GB2312" w:hAnsi="仿宋_GB2312" w:eastAsia="仿宋_GB2312" w:cs="仿宋_GB2312"/>
          <w:spacing w:val="6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6"/>
          <w:sz w:val="32"/>
          <w:szCs w:val="32"/>
          <w:lang w:val="en-US" w:eastAsia="zh-CN"/>
        </w:rPr>
        <w:t>抽检的81篇论文中，因无论文未送审2篇，实际送审论文79篇，合格论文69篇，抽检合格率85.19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%</w:t>
      </w:r>
      <w:r>
        <w:rPr>
          <w:rFonts w:hint="eastAsia" w:ascii="仿宋_GB2312" w:hAnsi="仿宋_GB2312" w:eastAsia="仿宋_GB2312" w:cs="仿宋_GB2312"/>
          <w:spacing w:val="6"/>
          <w:sz w:val="32"/>
          <w:szCs w:val="32"/>
          <w:lang w:val="en-US" w:eastAsia="zh-CN"/>
        </w:rPr>
        <w:t>。抽检认定“存在问题毕业论文”12篇（因高校未上传论文认定为“存在问题毕业论文”2篇，因送审两位及以上专家评议意见为“不合格”认定为“存在问题毕业论文”10篇），占抽检论文的</w:t>
      </w:r>
      <w:r>
        <w:rPr>
          <w:rFonts w:hint="eastAsia" w:ascii="仿宋" w:hAnsi="仿宋" w:eastAsia="仿宋" w:cs="仿宋"/>
          <w:sz w:val="32"/>
          <w:szCs w:val="32"/>
        </w:rPr>
        <w:t>14.81</w:t>
      </w:r>
      <w:r>
        <w:rPr>
          <w:rFonts w:hint="eastAsia" w:ascii="仿宋_GB2312" w:hAnsi="仿宋_GB2312" w:eastAsia="仿宋_GB2312" w:cs="仿宋_GB2312"/>
          <w:spacing w:val="6"/>
          <w:sz w:val="32"/>
          <w:szCs w:val="32"/>
          <w:lang w:val="en-US" w:eastAsia="zh-CN"/>
        </w:rPr>
        <w:t>%。</w:t>
      </w:r>
    </w:p>
    <w:p>
      <w:pPr>
        <w:rPr>
          <w:rFonts w:ascii="仿宋_GB2312" w:hAnsi="仿宋_GB2312" w:eastAsia="仿宋_GB2312" w:cs="仿宋_GB2312"/>
          <w:spacing w:val="6"/>
          <w:sz w:val="32"/>
          <w:szCs w:val="32"/>
        </w:rPr>
      </w:pPr>
      <w:r>
        <w:br w:type="page"/>
      </w:r>
    </w:p>
    <w:p>
      <w:pPr>
        <w:pStyle w:val="7"/>
      </w:pPr>
      <w:bookmarkStart w:id="2" w:name="_Toc256000001"/>
      <w:bookmarkStart w:id="3" w:name="_Toc2330"/>
      <w:r>
        <w:rPr>
          <w:rFonts w:hint="eastAsia"/>
          <w:lang w:val="en-US" w:eastAsia="zh-CN"/>
        </w:rPr>
        <w:t>二</w:t>
      </w:r>
      <w:r>
        <w:rPr>
          <w:rFonts w:hint="eastAsia"/>
        </w:rPr>
        <w:t>、评议结果</w:t>
      </w:r>
      <w:bookmarkEnd w:id="2"/>
      <w:bookmarkEnd w:id="3"/>
    </w:p>
    <w:p>
      <w:pPr>
        <w:pStyle w:val="8"/>
        <w:rPr>
          <w:rFonts w:ascii="方正楷体_GB2312" w:hAnsi="方正楷体_GB2312" w:eastAsia="方正楷体_GB2312" w:cs="方正楷体_GB2312"/>
        </w:rPr>
      </w:pPr>
      <w:bookmarkStart w:id="4" w:name="_Toc29166"/>
      <w:bookmarkStart w:id="5" w:name="_Toc256000002"/>
      <w:r>
        <w:rPr>
          <w:rFonts w:hint="eastAsia" w:ascii="方正楷体_GB2312" w:hAnsi="方正楷体_GB2312" w:eastAsia="方正楷体_GB2312" w:cs="方正楷体_GB2312"/>
        </w:rPr>
        <w:t>（一）评议结果总体情况</w:t>
      </w:r>
      <w:bookmarkEnd w:id="4"/>
      <w:bookmarkEnd w:id="5"/>
    </w:p>
    <w:p>
      <w:pPr>
        <w:pStyle w:val="9"/>
        <w:numPr>
          <w:ilvl w:val="0"/>
          <w:numId w:val="1"/>
        </w:numPr>
        <w:rPr>
          <w:rFonts w:ascii="仿宋_GB2312" w:hAnsi="仿宋_GB2312" w:cs="仿宋_GB2312"/>
        </w:rPr>
      </w:pPr>
      <w:bookmarkStart w:id="6" w:name="_Toc15754"/>
      <w:r>
        <w:rPr>
          <w:rFonts w:hint="eastAsia" w:ascii="仿宋_GB2312" w:hAnsi="仿宋_GB2312" w:cs="仿宋_GB2312"/>
        </w:rPr>
        <w:t>总体评价</w:t>
      </w:r>
      <w:bookmarkEnd w:id="6"/>
    </w:p>
    <w:p>
      <w:pPr>
        <w:spacing w:line="360" w:lineRule="auto"/>
        <w:ind w:firstLine="664" w:firstLineChars="200"/>
        <w:rPr>
          <w:rFonts w:hint="eastAsia" w:ascii="仿宋_GB2312" w:hAnsi="仿宋_GB2312" w:eastAsia="仿宋_GB2312" w:cs="仿宋_GB2312"/>
          <w:spacing w:val="6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6"/>
          <w:sz w:val="32"/>
          <w:szCs w:val="32"/>
          <w:lang w:val="en-US" w:eastAsia="zh-CN"/>
        </w:rPr>
        <w:t>全校送审论文共79篇。从总体评议结果看，合格论文共69篇，送审合格论文率为87.34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%</w:t>
      </w:r>
      <w:r>
        <w:rPr>
          <w:rFonts w:hint="eastAsia" w:ascii="仿宋_GB2312" w:hAnsi="仿宋_GB2312" w:eastAsia="仿宋_GB2312" w:cs="仿宋_GB2312"/>
          <w:spacing w:val="6"/>
          <w:sz w:val="32"/>
          <w:szCs w:val="32"/>
          <w:lang w:val="en-US" w:eastAsia="zh-CN"/>
        </w:rPr>
        <w:t>。“存在问题毕业论文（不含未上传论文）”共10篇，“存在问题毕业论文（不含未上传论文）”比例为12.66%。</w:t>
      </w:r>
    </w:p>
    <w:p>
      <w:pPr>
        <w:autoSpaceDE w:val="0"/>
        <w:autoSpaceDN w:val="0"/>
        <w:adjustRightInd w:val="0"/>
        <w:snapToGrid w:val="0"/>
        <w:spacing w:line="360" w:lineRule="auto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具体分布情况详见表1、图1。</w:t>
      </w:r>
    </w:p>
    <w:p>
      <w:pPr>
        <w:spacing w:line="360" w:lineRule="auto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28"/>
        </w:rPr>
        <w:t xml:space="preserve">表1  </w:t>
      </w:r>
      <w:r>
        <w:rPr>
          <w:rFonts w:hint="eastAsia" w:ascii="仿宋_GB2312" w:hAnsi="仿宋_GB2312" w:eastAsia="仿宋_GB2312" w:cs="仿宋_GB2312"/>
          <w:b/>
          <w:sz w:val="28"/>
          <w:lang w:eastAsia="zh-CN"/>
        </w:rPr>
        <w:t>2022/2023</w:t>
      </w:r>
      <w:r>
        <w:rPr>
          <w:rFonts w:hint="eastAsia" w:ascii="仿宋_GB2312" w:hAnsi="仿宋_GB2312" w:eastAsia="仿宋_GB2312" w:cs="仿宋_GB2312"/>
          <w:b/>
          <w:sz w:val="28"/>
        </w:rPr>
        <w:t>学年度赤峰学院本科毕业论文抽检评议结果统计表（总体）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50"/>
        <w:gridCol w:w="3850"/>
        <w:gridCol w:w="3850"/>
        <w:gridCol w:w="38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exact"/>
        </w:trPr>
        <w:tc>
          <w:tcPr>
            <w:tcW w:w="3850" w:type="dxa"/>
            <w:shd w:val="clear" w:color="FFFFFF" w:fill="E6E6E6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20"/>
              </w:rPr>
              <w:t>统计项目</w:t>
            </w:r>
          </w:p>
        </w:tc>
        <w:tc>
          <w:tcPr>
            <w:tcW w:w="3850" w:type="dxa"/>
            <w:shd w:val="clear" w:color="FFFFFF" w:fill="E6E6E6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20"/>
              </w:rPr>
              <w:t>合格论文</w:t>
            </w:r>
          </w:p>
        </w:tc>
        <w:tc>
          <w:tcPr>
            <w:tcW w:w="3850" w:type="dxa"/>
            <w:shd w:val="clear" w:color="FFFFFF" w:fill="E6E6E6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20"/>
              </w:rPr>
              <w:t>存在问题毕业论文（不含未上传论文）</w:t>
            </w:r>
          </w:p>
        </w:tc>
        <w:tc>
          <w:tcPr>
            <w:tcW w:w="3850" w:type="dxa"/>
            <w:shd w:val="clear" w:color="FFFFFF" w:fill="E6E6E6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20"/>
              </w:rPr>
              <w:t>合计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exact"/>
        </w:trPr>
        <w:tc>
          <w:tcPr>
            <w:tcW w:w="385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论文篇数</w:t>
            </w:r>
          </w:p>
        </w:tc>
        <w:tc>
          <w:tcPr>
            <w:tcW w:w="385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69</w:t>
            </w:r>
          </w:p>
        </w:tc>
        <w:tc>
          <w:tcPr>
            <w:tcW w:w="385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10</w:t>
            </w:r>
          </w:p>
        </w:tc>
        <w:tc>
          <w:tcPr>
            <w:tcW w:w="385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79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exact"/>
        </w:trPr>
        <w:tc>
          <w:tcPr>
            <w:tcW w:w="385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比例（%）</w:t>
            </w:r>
          </w:p>
        </w:tc>
        <w:tc>
          <w:tcPr>
            <w:tcW w:w="385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87.34%</w:t>
            </w:r>
          </w:p>
        </w:tc>
        <w:tc>
          <w:tcPr>
            <w:tcW w:w="385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12.66%</w:t>
            </w:r>
          </w:p>
        </w:tc>
        <w:tc>
          <w:tcPr>
            <w:tcW w:w="385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100%</w:t>
            </w:r>
          </w:p>
        </w:tc>
      </w:tr>
    </w:tbl>
    <w:p>
      <w:pPr>
        <w:rPr>
          <w:rFonts w:hint="eastAsia" w:ascii="仿宋_GB2312" w:hAnsi="仿宋_GB2312" w:eastAsia="仿宋_GB2312" w:cs="仿宋_GB2312"/>
          <w:spacing w:val="6"/>
          <w:sz w:val="32"/>
          <w:szCs w:val="32"/>
          <w:lang w:val="en-US" w:eastAsia="zh-CN"/>
        </w:rPr>
      </w:pPr>
      <w:r>
        <w:br w:type="page"/>
      </w:r>
    </w:p>
    <w:p>
      <w:pPr>
        <w:spacing w:line="360" w:lineRule="auto"/>
        <w:jc w:val="center"/>
        <w:rPr>
          <w:rFonts w:hint="eastAsia" w:ascii="仿宋_GB2312" w:hAnsi="仿宋_GB2312" w:eastAsia="仿宋_GB2312" w:cs="仿宋_GB2312"/>
          <w:b/>
          <w:sz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sz w:val="28"/>
          <w:lang w:val="en-US" w:eastAsia="zh-CN"/>
        </w:rPr>
        <w:t>图1  2022/2023学年度赤峰学院本科毕业论文抽检评议结果统计（总体）</w:t>
      </w:r>
    </w:p>
    <w:p>
      <w:pPr>
        <w:spacing w:line="360" w:lineRule="auto"/>
        <w:jc w:val="center"/>
        <w:rPr>
          <w:rFonts w:hint="eastAsia" w:ascii="仿宋_GB2312" w:hAnsi="仿宋_GB2312" w:eastAsia="仿宋_GB2312" w:cs="仿宋_GB2312"/>
          <w:spacing w:val="6"/>
          <w:sz w:val="32"/>
          <w:szCs w:val="32"/>
          <w:lang w:val="en-US" w:eastAsia="zh-CN"/>
        </w:rPr>
      </w:pPr>
      <w:r>
        <w:pict>
          <v:shape id="_x0000_i1025" o:spt="75" type="#_x0000_t75" style="height:378pt;width:560pt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</w:pict>
      </w:r>
    </w:p>
    <w:p/>
    <w:p>
      <w:pPr>
        <w:pStyle w:val="9"/>
        <w:rPr>
          <w:rFonts w:ascii="仿宋_GB2312" w:hAnsi="仿宋_GB2312" w:cs="仿宋_GB2312"/>
        </w:rPr>
      </w:pPr>
      <w:r>
        <w:rPr>
          <w:rFonts w:hint="eastAsia" w:ascii="仿宋_GB2312" w:hAnsi="仿宋_GB2312" w:cs="仿宋_GB2312"/>
        </w:rPr>
        <w:t>2.初评结果</w:t>
      </w:r>
    </w:p>
    <w:p>
      <w:pPr>
        <w:spacing w:line="360" w:lineRule="auto"/>
        <w:ind w:firstLine="664" w:firstLineChars="200"/>
        <w:rPr>
          <w:rFonts w:hint="eastAsia" w:ascii="仿宋_GB2312" w:hAnsi="仿宋_GB2312" w:eastAsia="仿宋_GB2312" w:cs="仿宋_GB2312"/>
          <w:spacing w:val="6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6"/>
          <w:sz w:val="32"/>
          <w:szCs w:val="32"/>
          <w:lang w:val="en-US" w:eastAsia="zh-CN"/>
        </w:rPr>
        <w:t>从初评结果看，专家评议意见全部合格论文共60篇，占比75.95%。1位专家评议意见不合格论文共12篇，占比15.19%。2位专家评议意见不合格论文共6篇，占比7.59%。3位专家评议意见不合格论文共1篇，占比1.27%。</w:t>
      </w:r>
    </w:p>
    <w:p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具体分布情况详见表2、图2。</w:t>
      </w:r>
    </w:p>
    <w:p>
      <w:pPr>
        <w:spacing w:line="360" w:lineRule="auto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28"/>
        </w:rPr>
        <w:t xml:space="preserve">表2  </w:t>
      </w:r>
      <w:r>
        <w:rPr>
          <w:rFonts w:hint="eastAsia" w:ascii="仿宋_GB2312" w:hAnsi="仿宋_GB2312" w:eastAsia="仿宋_GB2312" w:cs="仿宋_GB2312"/>
          <w:b/>
          <w:sz w:val="28"/>
          <w:lang w:eastAsia="zh-CN"/>
        </w:rPr>
        <w:t>2022/2023</w:t>
      </w:r>
      <w:r>
        <w:rPr>
          <w:rFonts w:hint="eastAsia" w:ascii="仿宋_GB2312" w:hAnsi="仿宋_GB2312" w:eastAsia="仿宋_GB2312" w:cs="仿宋_GB2312"/>
          <w:b/>
          <w:sz w:val="28"/>
        </w:rPr>
        <w:t>学年度赤峰学院本科毕业论文抽检评议结果统计表（初评）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6"/>
        <w:gridCol w:w="2566"/>
        <w:gridCol w:w="2566"/>
        <w:gridCol w:w="2566"/>
        <w:gridCol w:w="2566"/>
        <w:gridCol w:w="25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exact"/>
        </w:trPr>
        <w:tc>
          <w:tcPr>
            <w:tcW w:w="2566" w:type="dxa"/>
            <w:shd w:val="clear" w:color="FFFFFF" w:fill="E6E6E6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20"/>
              </w:rPr>
              <w:t>统计项目</w:t>
            </w:r>
          </w:p>
        </w:tc>
        <w:tc>
          <w:tcPr>
            <w:tcW w:w="2566" w:type="dxa"/>
            <w:shd w:val="clear" w:color="FFFFFF" w:fill="E6E6E6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20"/>
              </w:rPr>
              <w:t>专家评议意见全部合格</w:t>
            </w:r>
          </w:p>
        </w:tc>
        <w:tc>
          <w:tcPr>
            <w:tcW w:w="2566" w:type="dxa"/>
            <w:shd w:val="clear" w:color="FFFFFF" w:fill="E6E6E6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20"/>
              </w:rPr>
              <w:t>1位专家评议意见“不合格”</w:t>
            </w:r>
          </w:p>
        </w:tc>
        <w:tc>
          <w:tcPr>
            <w:tcW w:w="2566" w:type="dxa"/>
            <w:shd w:val="clear" w:color="FFFFFF" w:fill="E6E6E6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20"/>
              </w:rPr>
              <w:t>2位专家评议意见“不合格”</w:t>
            </w:r>
          </w:p>
        </w:tc>
        <w:tc>
          <w:tcPr>
            <w:tcW w:w="2566" w:type="dxa"/>
            <w:shd w:val="clear" w:color="FFFFFF" w:fill="E6E6E6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20"/>
              </w:rPr>
              <w:t>3位专家评议意见“不合格”</w:t>
            </w:r>
          </w:p>
        </w:tc>
        <w:tc>
          <w:tcPr>
            <w:tcW w:w="2566" w:type="dxa"/>
            <w:shd w:val="clear" w:color="FFFFFF" w:fill="E6E6E6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20"/>
              </w:rPr>
              <w:t>合计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exact"/>
        </w:trPr>
        <w:tc>
          <w:tcPr>
            <w:tcW w:w="2566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论文篇数</w:t>
            </w:r>
          </w:p>
        </w:tc>
        <w:tc>
          <w:tcPr>
            <w:tcW w:w="2566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60</w:t>
            </w:r>
          </w:p>
        </w:tc>
        <w:tc>
          <w:tcPr>
            <w:tcW w:w="2566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12</w:t>
            </w:r>
          </w:p>
        </w:tc>
        <w:tc>
          <w:tcPr>
            <w:tcW w:w="2566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6</w:t>
            </w:r>
          </w:p>
        </w:tc>
        <w:tc>
          <w:tcPr>
            <w:tcW w:w="2566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</w:t>
            </w:r>
          </w:p>
        </w:tc>
        <w:tc>
          <w:tcPr>
            <w:tcW w:w="2566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79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exact"/>
        </w:trPr>
        <w:tc>
          <w:tcPr>
            <w:tcW w:w="2566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比例（%）</w:t>
            </w:r>
          </w:p>
        </w:tc>
        <w:tc>
          <w:tcPr>
            <w:tcW w:w="2566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75.95%</w:t>
            </w:r>
          </w:p>
        </w:tc>
        <w:tc>
          <w:tcPr>
            <w:tcW w:w="2566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15.19%</w:t>
            </w:r>
          </w:p>
        </w:tc>
        <w:tc>
          <w:tcPr>
            <w:tcW w:w="2566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7.59%</w:t>
            </w:r>
          </w:p>
        </w:tc>
        <w:tc>
          <w:tcPr>
            <w:tcW w:w="2566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1.27%</w:t>
            </w:r>
          </w:p>
        </w:tc>
        <w:tc>
          <w:tcPr>
            <w:tcW w:w="2566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100%</w:t>
            </w:r>
          </w:p>
        </w:tc>
      </w:tr>
    </w:tbl>
    <w:p>
      <w:pPr>
        <w:rPr>
          <w:rFonts w:hint="eastAsia" w:ascii="仿宋_GB2312" w:hAnsi="仿宋_GB2312" w:eastAsia="仿宋_GB2312" w:cs="仿宋_GB2312"/>
          <w:spacing w:val="6"/>
          <w:sz w:val="32"/>
          <w:szCs w:val="32"/>
          <w:lang w:val="en-US" w:eastAsia="zh-CN"/>
        </w:rPr>
      </w:pPr>
      <w:r>
        <w:br w:type="page"/>
      </w:r>
    </w:p>
    <w:p>
      <w:pPr>
        <w:spacing w:line="360" w:lineRule="auto"/>
        <w:jc w:val="center"/>
        <w:rPr>
          <w:rFonts w:hint="eastAsia" w:ascii="仿宋_GB2312" w:hAnsi="仿宋_GB2312" w:eastAsia="仿宋_GB2312" w:cs="仿宋_GB2312"/>
          <w:b/>
          <w:sz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sz w:val="28"/>
          <w:lang w:val="en-US" w:eastAsia="zh-CN"/>
        </w:rPr>
        <w:t xml:space="preserve"> 图2  2022/2023学年度赤峰学院本科毕业论文抽检评议结果统计表（初评）</w:t>
      </w:r>
    </w:p>
    <w:p>
      <w:pPr>
        <w:spacing w:line="360" w:lineRule="auto"/>
        <w:jc w:val="center"/>
        <w:rPr>
          <w:rFonts w:hint="eastAsia" w:ascii="仿宋_GB2312" w:hAnsi="仿宋_GB2312" w:eastAsia="仿宋_GB2312" w:cs="仿宋_GB2312"/>
          <w:spacing w:val="6"/>
          <w:sz w:val="32"/>
          <w:szCs w:val="32"/>
          <w:lang w:val="en-US" w:eastAsia="zh-CN"/>
        </w:rPr>
      </w:pPr>
      <w:r>
        <w:pict>
          <v:shape id="_x0000_i1026" o:spt="75" type="#_x0000_t75" style="height:378pt;width:560pt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</w:pict>
      </w:r>
    </w:p>
    <w:p>
      <w:pPr>
        <w:spacing w:line="360" w:lineRule="auto"/>
        <w:ind w:firstLine="664" w:firstLineChars="200"/>
        <w:rPr>
          <w:rFonts w:hint="eastAsia" w:ascii="仿宋_GB2312" w:hAnsi="仿宋_GB2312" w:eastAsia="仿宋_GB2312" w:cs="仿宋_GB2312"/>
          <w:spacing w:val="6"/>
          <w:sz w:val="32"/>
          <w:szCs w:val="32"/>
          <w:lang w:val="en-US" w:eastAsia="zh-CN"/>
        </w:rPr>
      </w:pPr>
    </w:p>
    <w:p>
      <w:pPr>
        <w:spacing w:line="360" w:lineRule="auto"/>
        <w:ind w:firstLine="664" w:firstLineChars="200"/>
        <w:rPr>
          <w:rFonts w:hint="eastAsia" w:ascii="仿宋_GB2312" w:hAnsi="仿宋_GB2312" w:eastAsia="仿宋_GB2312" w:cs="仿宋_GB2312"/>
          <w:spacing w:val="6"/>
          <w:sz w:val="32"/>
          <w:szCs w:val="32"/>
          <w:lang w:val="en-US" w:eastAsia="zh-CN"/>
        </w:rPr>
      </w:pPr>
    </w:p>
    <w:p>
      <w:pPr>
        <w:pStyle w:val="9"/>
        <w:rPr>
          <w:rFonts w:ascii="仿宋_GB2312" w:hAnsi="仿宋_GB2312" w:cs="仿宋_GB2312"/>
        </w:rPr>
      </w:pPr>
      <w:r>
        <w:rPr>
          <w:rFonts w:hint="eastAsia" w:ascii="仿宋_GB2312" w:hAnsi="仿宋_GB2312" w:cs="仿宋_GB2312"/>
        </w:rPr>
        <w:t>3.复评结果</w:t>
      </w:r>
    </w:p>
    <w:p>
      <w:pPr>
        <w:spacing w:line="360" w:lineRule="auto"/>
        <w:ind w:firstLine="664" w:firstLineChars="200"/>
        <w:rPr>
          <w:rFonts w:hint="eastAsia" w:ascii="仿宋_GB2312" w:hAnsi="仿宋_GB2312" w:eastAsia="仿宋_GB2312" w:cs="仿宋_GB2312"/>
          <w:spacing w:val="6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6"/>
          <w:sz w:val="32"/>
          <w:szCs w:val="32"/>
        </w:rPr>
        <w:t>进入复评论文共12篇。从复评结果看，专家评议意见全部合格论文共9篇，占比75.00%。1位专家评议意见不合格论文共2篇，占比16.67%。2位专家评议意见不合格论文共1篇，占比8.33%。</w:t>
      </w:r>
    </w:p>
    <w:p>
      <w:pPr>
        <w:spacing w:line="360" w:lineRule="auto"/>
        <w:ind w:firstLine="664" w:firstLineChars="200"/>
        <w:rPr>
          <w:rFonts w:hint="eastAsia" w:ascii="仿宋_GB2312" w:hAnsi="仿宋_GB2312" w:eastAsia="仿宋_GB2312" w:cs="仿宋_GB2312"/>
          <w:spacing w:val="6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6"/>
          <w:sz w:val="32"/>
          <w:szCs w:val="32"/>
        </w:rPr>
        <w:t>具体分布情况详见表3、图3。</w:t>
      </w:r>
    </w:p>
    <w:p>
      <w:pPr>
        <w:spacing w:line="360" w:lineRule="auto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" w:eastAsia="仿宋"/>
          <w:b/>
          <w:sz w:val="28"/>
        </w:rPr>
        <w:t xml:space="preserve">表3  </w:t>
      </w:r>
      <w:r>
        <w:rPr>
          <w:rFonts w:hint="eastAsia" w:ascii="仿宋_GB2312" w:hAnsi="仿宋_GB2312" w:eastAsia="仿宋_GB2312" w:cs="仿宋_GB2312"/>
          <w:b/>
          <w:sz w:val="28"/>
          <w:lang w:eastAsia="zh-CN"/>
        </w:rPr>
        <w:t>2022/2023</w:t>
      </w:r>
      <w:r>
        <w:rPr>
          <w:rFonts w:hint="eastAsia" w:ascii="仿宋_GB2312" w:hAnsi="仿宋_GB2312" w:eastAsia="仿宋_GB2312" w:cs="仿宋_GB2312"/>
          <w:b/>
          <w:sz w:val="28"/>
        </w:rPr>
        <w:t>学年度赤峰学院</w:t>
      </w:r>
      <w:r>
        <w:rPr>
          <w:rFonts w:hint="eastAsia" w:ascii="仿宋" w:eastAsia="仿宋"/>
          <w:b/>
          <w:sz w:val="28"/>
        </w:rPr>
        <w:t>本科毕业论文抽检评议结果统计表（复评）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80"/>
        <w:gridCol w:w="3080"/>
        <w:gridCol w:w="3080"/>
        <w:gridCol w:w="3080"/>
        <w:gridCol w:w="30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exact"/>
        </w:trPr>
        <w:tc>
          <w:tcPr>
            <w:tcW w:w="3080" w:type="dxa"/>
            <w:shd w:val="clear" w:color="FFFFFF" w:fill="E6E6E6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20"/>
              </w:rPr>
              <w:t>统计项目</w:t>
            </w:r>
          </w:p>
        </w:tc>
        <w:tc>
          <w:tcPr>
            <w:tcW w:w="3080" w:type="dxa"/>
            <w:shd w:val="clear" w:color="FFFFFF" w:fill="E6E6E6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20"/>
              </w:rPr>
              <w:t>专家评议意见全部合格</w:t>
            </w:r>
          </w:p>
        </w:tc>
        <w:tc>
          <w:tcPr>
            <w:tcW w:w="3080" w:type="dxa"/>
            <w:shd w:val="clear" w:color="FFFFFF" w:fill="E6E6E6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20"/>
              </w:rPr>
              <w:t>1位专家评议意见“不合格”</w:t>
            </w:r>
          </w:p>
        </w:tc>
        <w:tc>
          <w:tcPr>
            <w:tcW w:w="3080" w:type="dxa"/>
            <w:shd w:val="clear" w:color="FFFFFF" w:fill="E6E6E6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20"/>
              </w:rPr>
              <w:t>2位专家评议意见“不合格”</w:t>
            </w:r>
          </w:p>
        </w:tc>
        <w:tc>
          <w:tcPr>
            <w:tcW w:w="3080" w:type="dxa"/>
            <w:shd w:val="clear" w:color="FFFFFF" w:fill="E6E6E6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20"/>
              </w:rPr>
              <w:t>合计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exact"/>
        </w:trPr>
        <w:tc>
          <w:tcPr>
            <w:tcW w:w="308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论文篇数</w:t>
            </w:r>
          </w:p>
        </w:tc>
        <w:tc>
          <w:tcPr>
            <w:tcW w:w="308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9</w:t>
            </w:r>
          </w:p>
        </w:tc>
        <w:tc>
          <w:tcPr>
            <w:tcW w:w="308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2</w:t>
            </w:r>
          </w:p>
        </w:tc>
        <w:tc>
          <w:tcPr>
            <w:tcW w:w="308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</w:t>
            </w:r>
          </w:p>
        </w:tc>
        <w:tc>
          <w:tcPr>
            <w:tcW w:w="308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exact"/>
        </w:trPr>
        <w:tc>
          <w:tcPr>
            <w:tcW w:w="308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比例（%）</w:t>
            </w:r>
          </w:p>
        </w:tc>
        <w:tc>
          <w:tcPr>
            <w:tcW w:w="308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75.0%</w:t>
            </w:r>
          </w:p>
        </w:tc>
        <w:tc>
          <w:tcPr>
            <w:tcW w:w="308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16.67%</w:t>
            </w:r>
          </w:p>
        </w:tc>
        <w:tc>
          <w:tcPr>
            <w:tcW w:w="308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8.33%</w:t>
            </w:r>
          </w:p>
        </w:tc>
        <w:tc>
          <w:tcPr>
            <w:tcW w:w="308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100%</w:t>
            </w:r>
          </w:p>
        </w:tc>
      </w:tr>
    </w:tbl>
    <w:p>
      <w:pPr>
        <w:rPr>
          <w:rFonts w:hint="eastAsia" w:ascii="仿宋_GB2312" w:hAnsi="仿宋_GB2312" w:eastAsia="仿宋_GB2312" w:cs="仿宋_GB2312"/>
          <w:spacing w:val="6"/>
          <w:sz w:val="32"/>
          <w:szCs w:val="32"/>
        </w:rPr>
      </w:pPr>
      <w:r>
        <w:br w:type="page"/>
      </w:r>
    </w:p>
    <w:p>
      <w:pPr>
        <w:spacing w:line="360" w:lineRule="auto"/>
        <w:jc w:val="center"/>
        <w:rPr>
          <w:rFonts w:hint="eastAsia" w:ascii="仿宋_GB2312" w:hAnsi="仿宋_GB2312" w:eastAsia="仿宋_GB2312" w:cs="仿宋_GB2312"/>
          <w:b/>
          <w:sz w:val="28"/>
        </w:rPr>
      </w:pPr>
      <w:r>
        <w:rPr>
          <w:rFonts w:hint="eastAsia" w:ascii="仿宋_GB2312" w:hAnsi="仿宋_GB2312" w:eastAsia="仿宋_GB2312" w:cs="仿宋_GB2312"/>
          <w:b/>
          <w:sz w:val="28"/>
        </w:rPr>
        <w:t xml:space="preserve">图3  </w:t>
      </w:r>
      <w:r>
        <w:rPr>
          <w:rFonts w:hint="eastAsia" w:ascii="仿宋_GB2312" w:hAnsi="仿宋_GB2312" w:eastAsia="仿宋_GB2312" w:cs="仿宋_GB2312"/>
          <w:b/>
          <w:sz w:val="28"/>
          <w:lang w:eastAsia="zh-CN"/>
        </w:rPr>
        <w:t>2022/2023学年度赤峰学院</w:t>
      </w:r>
      <w:r>
        <w:rPr>
          <w:rFonts w:hint="eastAsia" w:ascii="仿宋_GB2312" w:hAnsi="仿宋_GB2312" w:eastAsia="仿宋_GB2312" w:cs="仿宋_GB2312"/>
          <w:b/>
          <w:sz w:val="28"/>
        </w:rPr>
        <w:t>本科毕业论文抽检评议结果统计（复评）</w:t>
      </w:r>
    </w:p>
    <w:p>
      <w:pPr>
        <w:spacing w:line="360" w:lineRule="auto"/>
        <w:jc w:val="center"/>
        <w:rPr>
          <w:rFonts w:hint="eastAsia" w:ascii="仿宋_GB2312" w:hAnsi="仿宋_GB2312" w:eastAsia="仿宋_GB2312" w:cs="仿宋_GB2312"/>
          <w:spacing w:val="6"/>
          <w:sz w:val="32"/>
          <w:szCs w:val="32"/>
          <w:lang w:val="en-US" w:eastAsia="zh-CN"/>
        </w:rPr>
      </w:pPr>
      <w:r>
        <w:pict>
          <v:shape id="_x0000_i1027" o:spt="75" type="#_x0000_t75" style="height:378pt;width:560pt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</w:pict>
      </w:r>
    </w:p>
    <w:p>
      <w:pPr>
        <w:jc w:val="left"/>
      </w:pPr>
    </w:p>
    <w:p>
      <w:pPr>
        <w:jc w:val="left"/>
        <w:sectPr>
          <w:footerReference r:id="rId7" w:type="default"/>
          <w:type w:val="continuous"/>
          <w:pgSz w:w="16838" w:h="11906" w:orient="landscape"/>
          <w:pgMar w:top="720" w:right="720" w:bottom="720" w:left="720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pStyle w:val="8"/>
        <w:ind w:left="840"/>
        <w:rPr>
          <w:rFonts w:ascii="方正楷体_GB2312" w:hAnsi="方正楷体_GB2312" w:eastAsia="方正楷体_GB2312" w:cs="方正楷体_GB2312"/>
        </w:rPr>
      </w:pPr>
      <w:bookmarkStart w:id="7" w:name="_Toc11255"/>
      <w:bookmarkStart w:id="8" w:name="_Toc256000003"/>
      <w:r>
        <w:rPr>
          <w:rFonts w:hint="eastAsia" w:ascii="方正楷体_GB2312" w:hAnsi="方正楷体_GB2312" w:eastAsia="方正楷体_GB2312" w:cs="方正楷体_GB2312"/>
        </w:rPr>
        <w:t>（二）按学位类型统计</w:t>
      </w:r>
      <w:bookmarkEnd w:id="7"/>
      <w:bookmarkEnd w:id="8"/>
    </w:p>
    <w:p>
      <w:pPr>
        <w:spacing w:line="360" w:lineRule="auto"/>
        <w:ind w:firstLine="664" w:firstLineChars="200"/>
        <w:rPr>
          <w:rFonts w:hint="eastAsia" w:ascii="仿宋_GB2312" w:hAnsi="仿宋_GB2312" w:eastAsia="仿宋_GB2312" w:cs="仿宋_GB2312"/>
          <w:spacing w:val="6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6"/>
          <w:sz w:val="32"/>
          <w:szCs w:val="32"/>
        </w:rPr>
        <w:t>普通高等教育，抽检论文共81篇。其中，送审论文共79篇，合格论文共</w:t>
      </w:r>
      <w:r>
        <w:rPr>
          <w:rFonts w:hint="eastAsia" w:ascii="仿宋_GB2312" w:hAnsi="仿宋_GB2312" w:eastAsia="仿宋_GB2312" w:cs="仿宋_GB2312"/>
          <w:spacing w:val="6"/>
          <w:sz w:val="32"/>
          <w:szCs w:val="32"/>
          <w:lang w:val="en-US" w:eastAsia="zh-CN"/>
        </w:rPr>
        <w:tab/>
      </w:r>
      <w:r>
        <w:rPr>
          <w:rFonts w:hint="eastAsia" w:ascii="仿宋_GB2312" w:hAnsi="仿宋_GB2312" w:eastAsia="仿宋_GB2312" w:cs="仿宋_GB2312"/>
          <w:spacing w:val="6"/>
          <w:sz w:val="32"/>
          <w:szCs w:val="32"/>
          <w:lang w:val="en-US" w:eastAsia="zh-CN"/>
        </w:rPr>
        <w:t>69</w:t>
      </w:r>
      <w:r>
        <w:rPr>
          <w:rFonts w:hint="eastAsia" w:ascii="仿宋_GB2312" w:hAnsi="仿宋_GB2312" w:eastAsia="仿宋_GB2312" w:cs="仿宋_GB2312"/>
          <w:spacing w:val="6"/>
          <w:sz w:val="32"/>
          <w:szCs w:val="32"/>
        </w:rPr>
        <w:t>篇，合格论文率为87.34%；“一不合格”论文共9篇，“一不合格”论文率为11.39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%</w:t>
      </w:r>
      <w:r>
        <w:rPr>
          <w:rFonts w:hint="eastAsia" w:ascii="仿宋_GB2312" w:hAnsi="仿宋_GB2312" w:eastAsia="仿宋_GB2312" w:cs="仿宋_GB2312"/>
          <w:spacing w:val="6"/>
          <w:sz w:val="32"/>
          <w:szCs w:val="32"/>
        </w:rPr>
        <w:t>；“存在问题毕业论文（不含未上传论文）”共10篇，“存在问题毕业论文（不含未上传论文）”比例为12.66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%</w:t>
      </w:r>
      <w:r>
        <w:rPr>
          <w:rFonts w:hint="eastAsia" w:ascii="仿宋_GB2312" w:hAnsi="仿宋_GB2312" w:eastAsia="仿宋_GB2312" w:cs="仿宋_GB2312"/>
          <w:spacing w:val="6"/>
          <w:sz w:val="32"/>
          <w:szCs w:val="32"/>
        </w:rPr>
        <w:t>。未上传论文共2篇，因此“存在问题毕业论文（含未上传论文）”共12篇，“存在问题毕业论文（含未上传论文）”比例为14.81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%</w:t>
      </w:r>
      <w:r>
        <w:rPr>
          <w:rFonts w:hint="eastAsia" w:ascii="仿宋_GB2312" w:hAnsi="仿宋_GB2312" w:eastAsia="仿宋_GB2312" w:cs="仿宋_GB2312"/>
          <w:spacing w:val="6"/>
          <w:sz w:val="32"/>
          <w:szCs w:val="32"/>
        </w:rPr>
        <w:t>。</w:t>
      </w:r>
    </w:p>
    <w:p>
      <w:pPr>
        <w:spacing w:line="360" w:lineRule="auto"/>
        <w:ind w:firstLine="664" w:firstLineChars="200"/>
        <w:rPr>
          <w:rFonts w:hint="eastAsia" w:ascii="仿宋_GB2312" w:hAnsi="仿宋_GB2312" w:eastAsia="仿宋_GB2312" w:cs="仿宋_GB2312"/>
          <w:spacing w:val="6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6"/>
          <w:sz w:val="32"/>
          <w:szCs w:val="32"/>
        </w:rPr>
        <w:t>成人高等教育，抽检论文共0篇。其中，送审论文共0篇，合格论文共0篇，合格论文率为0.00%；“一不合格”论文共0篇，“一不合格”论文率为0.00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%</w:t>
      </w:r>
      <w:r>
        <w:rPr>
          <w:rFonts w:hint="eastAsia" w:ascii="仿宋_GB2312" w:hAnsi="仿宋_GB2312" w:eastAsia="仿宋_GB2312" w:cs="仿宋_GB2312"/>
          <w:spacing w:val="6"/>
          <w:sz w:val="32"/>
          <w:szCs w:val="32"/>
        </w:rPr>
        <w:t>；“存在问题毕业论文（不含未上传论文）”共0篇，“存在问题毕业论文（不含未上传论文）”比例为0.00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%</w:t>
      </w:r>
      <w:r>
        <w:rPr>
          <w:rFonts w:hint="eastAsia" w:ascii="仿宋_GB2312" w:hAnsi="仿宋_GB2312" w:eastAsia="仿宋_GB2312" w:cs="仿宋_GB2312"/>
          <w:spacing w:val="6"/>
          <w:sz w:val="32"/>
          <w:szCs w:val="32"/>
        </w:rPr>
        <w:t>。未上传论文共0篇，因此“存在问题毕业论文（含未上传论文）”共0篇，“存在问题毕业论文（含未上传论文）”比例为0.00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%</w:t>
      </w:r>
      <w:r>
        <w:rPr>
          <w:rFonts w:hint="eastAsia" w:ascii="仿宋_GB2312" w:hAnsi="仿宋_GB2312" w:eastAsia="仿宋_GB2312" w:cs="仿宋_GB2312"/>
          <w:spacing w:val="6"/>
          <w:sz w:val="32"/>
          <w:szCs w:val="32"/>
        </w:rPr>
        <w:t>。</w:t>
      </w:r>
    </w:p>
    <w:p>
      <w:pPr>
        <w:spacing w:line="360" w:lineRule="auto"/>
        <w:ind w:firstLine="664" w:firstLineChars="200"/>
        <w:rPr>
          <w:rFonts w:hint="eastAsia" w:ascii="仿宋_GB2312" w:hAnsi="仿宋_GB2312" w:eastAsia="仿宋_GB2312" w:cs="仿宋_GB2312"/>
          <w:spacing w:val="6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6"/>
          <w:sz w:val="32"/>
          <w:szCs w:val="32"/>
        </w:rPr>
        <w:t>来华留学教育，抽检论文共0篇。其中，送审论文共0篇，合格论文共0篇，合格论文率为0.00%；“一不合格”论文共0篇，“一不合格”论文率为0.00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%</w:t>
      </w:r>
      <w:r>
        <w:rPr>
          <w:rFonts w:hint="eastAsia" w:ascii="仿宋_GB2312" w:hAnsi="仿宋_GB2312" w:eastAsia="仿宋_GB2312" w:cs="仿宋_GB2312"/>
          <w:spacing w:val="6"/>
          <w:sz w:val="32"/>
          <w:szCs w:val="32"/>
        </w:rPr>
        <w:t>；无“存在问题毕业论文”。</w:t>
      </w:r>
    </w:p>
    <w:p>
      <w:pPr>
        <w:spacing w:line="360" w:lineRule="auto"/>
        <w:ind w:firstLine="664" w:firstLineChars="200"/>
        <w:rPr>
          <w:rFonts w:hint="eastAsia" w:ascii="仿宋_GB2312" w:hAnsi="仿宋_GB2312" w:eastAsia="仿宋_GB2312" w:cs="仿宋_GB2312"/>
          <w:b/>
          <w:sz w:val="28"/>
        </w:rPr>
      </w:pPr>
      <w:r>
        <w:rPr>
          <w:rFonts w:hint="eastAsia" w:ascii="仿宋_GB2312" w:hAnsi="仿宋_GB2312" w:eastAsia="仿宋_GB2312" w:cs="仿宋_GB2312"/>
          <w:spacing w:val="6"/>
          <w:sz w:val="32"/>
          <w:szCs w:val="32"/>
        </w:rPr>
        <w:t>学士专业学位，抽检论文共0篇。其中，送审论文共0篇，合格论文共0篇，合格论文率为0.00%；无“存在问题毕业论文”。具体分布情况详见表4、图4。</w:t>
      </w:r>
    </w:p>
    <w:p>
      <w:pPr>
        <w:rPr>
          <w:rFonts w:hint="eastAsia" w:ascii="仿宋_GB2312" w:hAnsi="仿宋_GB2312" w:eastAsia="仿宋_GB2312" w:cs="仿宋_GB2312"/>
          <w:b/>
          <w:sz w:val="28"/>
        </w:rPr>
      </w:pPr>
      <w:r>
        <w:br w:type="page"/>
      </w:r>
    </w:p>
    <w:p>
      <w:pPr>
        <w:ind w:firstLine="562" w:firstLineChars="200"/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b/>
          <w:sz w:val="28"/>
        </w:rPr>
        <w:t xml:space="preserve">表4  </w:t>
      </w:r>
      <w:r>
        <w:rPr>
          <w:rFonts w:hint="eastAsia" w:ascii="仿宋_GB2312" w:hAnsi="仿宋_GB2312" w:eastAsia="仿宋_GB2312" w:cs="仿宋_GB2312"/>
          <w:b/>
          <w:sz w:val="28"/>
          <w:lang w:eastAsia="zh-CN"/>
        </w:rPr>
        <w:t>2022/2023</w:t>
      </w:r>
      <w:r>
        <w:rPr>
          <w:rFonts w:hint="eastAsia" w:ascii="仿宋_GB2312" w:hAnsi="仿宋_GB2312" w:eastAsia="仿宋_GB2312" w:cs="仿宋_GB2312"/>
          <w:b/>
          <w:sz w:val="28"/>
        </w:rPr>
        <w:t>学年度赤峰学院本科毕业论文抽检评议结果统计表（按学位类型统计）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83"/>
        <w:gridCol w:w="1283"/>
        <w:gridCol w:w="1341"/>
        <w:gridCol w:w="1283"/>
        <w:gridCol w:w="1283"/>
        <w:gridCol w:w="1283"/>
        <w:gridCol w:w="1283"/>
        <w:gridCol w:w="1283"/>
        <w:gridCol w:w="1283"/>
        <w:gridCol w:w="1283"/>
        <w:gridCol w:w="1283"/>
        <w:gridCol w:w="12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0" w:hRule="exact"/>
        </w:trPr>
        <w:tc>
          <w:tcPr>
            <w:tcW w:w="1283" w:type="dxa"/>
            <w:vMerge w:val="restart"/>
            <w:shd w:val="clear" w:color="FFFFFF" w:fill="E6E6E6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</w:p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学位类型</w:t>
            </w:r>
          </w:p>
        </w:tc>
        <w:tc>
          <w:tcPr>
            <w:tcW w:w="1283" w:type="dxa"/>
            <w:vMerge w:val="restart"/>
            <w:shd w:val="clear" w:color="FFFFFF" w:fill="E6E6E6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</w:p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抽检论文总数</w:t>
            </w:r>
          </w:p>
        </w:tc>
        <w:tc>
          <w:tcPr>
            <w:tcW w:w="1283" w:type="dxa"/>
            <w:vMerge w:val="restart"/>
            <w:shd w:val="clear" w:color="FFFFFF" w:fill="E6E6E6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</w:p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未上传论文总数</w:t>
            </w:r>
          </w:p>
        </w:tc>
        <w:tc>
          <w:tcPr>
            <w:tcW w:w="1283" w:type="dxa"/>
            <w:vMerge w:val="restart"/>
            <w:shd w:val="clear" w:color="FFFFFF" w:fill="E6E6E6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</w:p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送审论文总数</w:t>
            </w:r>
          </w:p>
        </w:tc>
        <w:tc>
          <w:tcPr>
            <w:tcW w:w="2566" w:type="dxa"/>
            <w:gridSpan w:val="2"/>
            <w:shd w:val="clear" w:color="FFFFFF" w:fill="E6E6E6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20"/>
              </w:rPr>
              <w:t>合格论文</w:t>
            </w:r>
          </w:p>
          <w:p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2566" w:type="dxa"/>
            <w:gridSpan w:val="2"/>
            <w:shd w:val="clear" w:color="FFFFFF" w:fill="E6E6E6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20"/>
              </w:rPr>
              <w:t>“一不合格”论文</w:t>
            </w:r>
          </w:p>
          <w:p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2566" w:type="dxa"/>
            <w:gridSpan w:val="2"/>
            <w:shd w:val="clear" w:color="FFFFFF" w:fill="E6E6E6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20"/>
              </w:rPr>
              <w:t>存在问题毕业论文（不含未上传论文）</w:t>
            </w:r>
          </w:p>
          <w:p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2566" w:type="dxa"/>
            <w:gridSpan w:val="2"/>
            <w:shd w:val="clear" w:color="FFFFFF" w:fill="E6E6E6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20"/>
              </w:rPr>
              <w:t>存在问题毕业论文（含未上传论文）</w:t>
            </w:r>
          </w:p>
          <w:p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0" w:hRule="exact"/>
        </w:trPr>
        <w:tc>
          <w:tcPr>
            <w:tcW w:w="1283" w:type="dxa"/>
            <w:vMerge w:val="continue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学位类型</w:t>
            </w:r>
          </w:p>
        </w:tc>
        <w:tc>
          <w:tcPr>
            <w:tcW w:w="1283" w:type="dxa"/>
            <w:vMerge w:val="continue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抽检论文总数</w:t>
            </w:r>
          </w:p>
        </w:tc>
        <w:tc>
          <w:tcPr>
            <w:tcW w:w="1283" w:type="dxa"/>
            <w:vMerge w:val="continue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未上传论文总数</w:t>
            </w:r>
          </w:p>
        </w:tc>
        <w:tc>
          <w:tcPr>
            <w:tcW w:w="1283" w:type="dxa"/>
            <w:vMerge w:val="continue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送审论文总数</w:t>
            </w:r>
          </w:p>
        </w:tc>
        <w:tc>
          <w:tcPr>
            <w:tcW w:w="1283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合格论文数</w:t>
            </w:r>
          </w:p>
        </w:tc>
        <w:tc>
          <w:tcPr>
            <w:tcW w:w="1283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合格论文率（%）</w:t>
            </w:r>
          </w:p>
        </w:tc>
        <w:tc>
          <w:tcPr>
            <w:tcW w:w="1283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“一不合格”论文数</w:t>
            </w:r>
          </w:p>
        </w:tc>
        <w:tc>
          <w:tcPr>
            <w:tcW w:w="1283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“一不合格”论文率（%）</w:t>
            </w:r>
          </w:p>
        </w:tc>
        <w:tc>
          <w:tcPr>
            <w:tcW w:w="1283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存在问题毕业论文数</w:t>
            </w:r>
          </w:p>
        </w:tc>
        <w:tc>
          <w:tcPr>
            <w:tcW w:w="1283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存在问题毕业论文比例（%）</w:t>
            </w:r>
          </w:p>
        </w:tc>
        <w:tc>
          <w:tcPr>
            <w:tcW w:w="1283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存在问题论文数</w:t>
            </w:r>
          </w:p>
        </w:tc>
        <w:tc>
          <w:tcPr>
            <w:tcW w:w="1283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存在问题论文比例（%）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exact"/>
        </w:trPr>
        <w:tc>
          <w:tcPr>
            <w:tcW w:w="1283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普通高等教育</w:t>
            </w:r>
          </w:p>
        </w:tc>
        <w:tc>
          <w:tcPr>
            <w:tcW w:w="1283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81</w:t>
            </w:r>
          </w:p>
        </w:tc>
        <w:tc>
          <w:tcPr>
            <w:tcW w:w="1283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2</w:t>
            </w:r>
          </w:p>
        </w:tc>
        <w:tc>
          <w:tcPr>
            <w:tcW w:w="1283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79</w:t>
            </w:r>
          </w:p>
        </w:tc>
        <w:tc>
          <w:tcPr>
            <w:tcW w:w="1283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69</w:t>
            </w:r>
          </w:p>
        </w:tc>
        <w:tc>
          <w:tcPr>
            <w:tcW w:w="1283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87.34%</w:t>
            </w:r>
          </w:p>
        </w:tc>
        <w:tc>
          <w:tcPr>
            <w:tcW w:w="1283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9</w:t>
            </w:r>
          </w:p>
        </w:tc>
        <w:tc>
          <w:tcPr>
            <w:tcW w:w="1283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11.39%</w:t>
            </w:r>
          </w:p>
        </w:tc>
        <w:tc>
          <w:tcPr>
            <w:tcW w:w="1283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10</w:t>
            </w:r>
          </w:p>
        </w:tc>
        <w:tc>
          <w:tcPr>
            <w:tcW w:w="1283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12.66%</w:t>
            </w:r>
          </w:p>
        </w:tc>
        <w:tc>
          <w:tcPr>
            <w:tcW w:w="1283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12</w:t>
            </w:r>
          </w:p>
        </w:tc>
        <w:tc>
          <w:tcPr>
            <w:tcW w:w="1283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14.81%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exact"/>
        </w:trPr>
        <w:tc>
          <w:tcPr>
            <w:tcW w:w="1283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成人高等教育</w:t>
            </w:r>
          </w:p>
        </w:tc>
        <w:tc>
          <w:tcPr>
            <w:tcW w:w="1283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</w:t>
            </w:r>
          </w:p>
        </w:tc>
        <w:tc>
          <w:tcPr>
            <w:tcW w:w="1283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</w:t>
            </w:r>
          </w:p>
        </w:tc>
        <w:tc>
          <w:tcPr>
            <w:tcW w:w="1283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</w:t>
            </w:r>
          </w:p>
        </w:tc>
        <w:tc>
          <w:tcPr>
            <w:tcW w:w="1283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</w:t>
            </w:r>
          </w:p>
        </w:tc>
        <w:tc>
          <w:tcPr>
            <w:tcW w:w="1283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0.0%</w:t>
            </w:r>
          </w:p>
        </w:tc>
        <w:tc>
          <w:tcPr>
            <w:tcW w:w="1283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</w:t>
            </w:r>
          </w:p>
        </w:tc>
        <w:tc>
          <w:tcPr>
            <w:tcW w:w="1283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0.0%</w:t>
            </w:r>
          </w:p>
        </w:tc>
        <w:tc>
          <w:tcPr>
            <w:tcW w:w="1283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</w:t>
            </w:r>
          </w:p>
        </w:tc>
        <w:tc>
          <w:tcPr>
            <w:tcW w:w="1283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0.0%</w:t>
            </w:r>
          </w:p>
        </w:tc>
        <w:tc>
          <w:tcPr>
            <w:tcW w:w="1283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</w:t>
            </w:r>
          </w:p>
        </w:tc>
        <w:tc>
          <w:tcPr>
            <w:tcW w:w="1283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0.0%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exact"/>
        </w:trPr>
        <w:tc>
          <w:tcPr>
            <w:tcW w:w="1283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来华留学</w:t>
            </w:r>
          </w:p>
        </w:tc>
        <w:tc>
          <w:tcPr>
            <w:tcW w:w="1283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</w:t>
            </w:r>
          </w:p>
        </w:tc>
        <w:tc>
          <w:tcPr>
            <w:tcW w:w="1283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</w:t>
            </w:r>
          </w:p>
        </w:tc>
        <w:tc>
          <w:tcPr>
            <w:tcW w:w="1283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</w:t>
            </w:r>
          </w:p>
        </w:tc>
        <w:tc>
          <w:tcPr>
            <w:tcW w:w="1283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</w:t>
            </w:r>
          </w:p>
        </w:tc>
        <w:tc>
          <w:tcPr>
            <w:tcW w:w="1283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0.0%</w:t>
            </w:r>
          </w:p>
        </w:tc>
        <w:tc>
          <w:tcPr>
            <w:tcW w:w="1283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</w:t>
            </w:r>
          </w:p>
        </w:tc>
        <w:tc>
          <w:tcPr>
            <w:tcW w:w="1283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0.0%</w:t>
            </w:r>
          </w:p>
        </w:tc>
        <w:tc>
          <w:tcPr>
            <w:tcW w:w="1283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</w:t>
            </w:r>
          </w:p>
        </w:tc>
        <w:tc>
          <w:tcPr>
            <w:tcW w:w="1283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0.0%</w:t>
            </w:r>
          </w:p>
        </w:tc>
        <w:tc>
          <w:tcPr>
            <w:tcW w:w="1283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</w:t>
            </w:r>
          </w:p>
        </w:tc>
        <w:tc>
          <w:tcPr>
            <w:tcW w:w="1283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0.0%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exact"/>
        </w:trPr>
        <w:tc>
          <w:tcPr>
            <w:tcW w:w="1283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学士专业学位</w:t>
            </w:r>
          </w:p>
        </w:tc>
        <w:tc>
          <w:tcPr>
            <w:tcW w:w="1283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</w:t>
            </w:r>
          </w:p>
        </w:tc>
        <w:tc>
          <w:tcPr>
            <w:tcW w:w="1283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</w:t>
            </w:r>
          </w:p>
        </w:tc>
        <w:tc>
          <w:tcPr>
            <w:tcW w:w="1283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</w:t>
            </w:r>
          </w:p>
        </w:tc>
        <w:tc>
          <w:tcPr>
            <w:tcW w:w="1283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</w:t>
            </w:r>
          </w:p>
        </w:tc>
        <w:tc>
          <w:tcPr>
            <w:tcW w:w="1283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0.0%</w:t>
            </w:r>
          </w:p>
        </w:tc>
        <w:tc>
          <w:tcPr>
            <w:tcW w:w="1283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</w:t>
            </w:r>
          </w:p>
        </w:tc>
        <w:tc>
          <w:tcPr>
            <w:tcW w:w="1283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0.0%</w:t>
            </w:r>
          </w:p>
        </w:tc>
        <w:tc>
          <w:tcPr>
            <w:tcW w:w="1283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</w:t>
            </w:r>
          </w:p>
        </w:tc>
        <w:tc>
          <w:tcPr>
            <w:tcW w:w="1283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0.0%</w:t>
            </w:r>
          </w:p>
        </w:tc>
        <w:tc>
          <w:tcPr>
            <w:tcW w:w="1283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</w:t>
            </w:r>
          </w:p>
        </w:tc>
        <w:tc>
          <w:tcPr>
            <w:tcW w:w="1283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0.0%</w:t>
            </w:r>
          </w:p>
        </w:tc>
      </w:tr>
    </w:tbl>
    <w:p>
      <w:pPr>
        <w:rPr>
          <w:rFonts w:hint="eastAsia" w:ascii="仿宋_GB2312" w:hAnsi="仿宋_GB2312" w:eastAsia="仿宋_GB2312" w:cs="仿宋_GB2312"/>
          <w:spacing w:val="6"/>
          <w:sz w:val="32"/>
          <w:szCs w:val="32"/>
        </w:rPr>
      </w:pPr>
      <w:r>
        <w:br w:type="page"/>
      </w:r>
    </w:p>
    <w:p>
      <w:pPr>
        <w:spacing w:line="360" w:lineRule="auto"/>
        <w:jc w:val="center"/>
        <w:rPr>
          <w:rFonts w:hint="eastAsia" w:ascii="仿宋_GB2312" w:hAnsi="仿宋_GB2312" w:eastAsia="仿宋_GB2312" w:cs="仿宋_GB2312"/>
          <w:b/>
          <w:sz w:val="28"/>
        </w:rPr>
      </w:pPr>
      <w:r>
        <w:rPr>
          <w:rFonts w:hint="eastAsia" w:ascii="仿宋_GB2312" w:hAnsi="仿宋_GB2312" w:eastAsia="仿宋_GB2312" w:cs="仿宋_GB2312"/>
          <w:b/>
          <w:sz w:val="28"/>
        </w:rPr>
        <w:t xml:space="preserve">图4  </w:t>
      </w:r>
      <w:r>
        <w:rPr>
          <w:rFonts w:hint="eastAsia" w:ascii="仿宋_GB2312" w:hAnsi="仿宋_GB2312" w:eastAsia="仿宋_GB2312" w:cs="仿宋_GB2312"/>
          <w:b/>
          <w:sz w:val="28"/>
          <w:lang w:eastAsia="zh-CN"/>
        </w:rPr>
        <w:t>2022/2023学年度赤峰学院</w:t>
      </w:r>
      <w:r>
        <w:rPr>
          <w:rFonts w:hint="eastAsia" w:ascii="仿宋_GB2312" w:hAnsi="仿宋_GB2312" w:eastAsia="仿宋_GB2312" w:cs="仿宋_GB2312"/>
          <w:b/>
          <w:sz w:val="28"/>
        </w:rPr>
        <w:t>本科毕业论文抽检评议结果统计（按学位类型统计）</w:t>
      </w:r>
    </w:p>
    <w:p>
      <w:pPr>
        <w:spacing w:line="360" w:lineRule="auto"/>
        <w:jc w:val="center"/>
        <w:rPr>
          <w:rFonts w:hint="eastAsia" w:ascii="仿宋_GB2312" w:hAnsi="仿宋_GB2312" w:eastAsia="仿宋_GB2312" w:cs="仿宋_GB2312"/>
          <w:spacing w:val="6"/>
          <w:sz w:val="32"/>
          <w:szCs w:val="32"/>
          <w:lang w:val="en-US" w:eastAsia="zh-CN"/>
        </w:rPr>
      </w:pPr>
      <w:r>
        <w:pict>
          <v:shape id="_x0000_i1028" o:spt="75" type="#_x0000_t75" style="height:378pt;width:560pt;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</w:pict>
      </w:r>
    </w:p>
    <w:p>
      <w:pPr>
        <w:bidi w:val="0"/>
        <w:rPr>
          <w:rFonts w:hint="eastAsia"/>
        </w:rPr>
      </w:pPr>
      <w:bookmarkStart w:id="9" w:name="_Toc28960"/>
    </w:p>
    <w:p>
      <w:pPr>
        <w:pStyle w:val="8"/>
        <w:ind w:left="840"/>
        <w:rPr>
          <w:rFonts w:ascii="方正楷体_GB2312" w:hAnsi="方正楷体_GB2312" w:eastAsia="方正楷体_GB2312" w:cs="方正楷体_GB2312"/>
        </w:rPr>
      </w:pPr>
      <w:bookmarkStart w:id="10" w:name="_Toc256000004"/>
      <w:r>
        <w:rPr>
          <w:rFonts w:hint="eastAsia" w:ascii="方正楷体_GB2312" w:hAnsi="方正楷体_GB2312" w:eastAsia="方正楷体_GB2312" w:cs="方正楷体_GB2312"/>
        </w:rPr>
        <w:t>（三）按</w:t>
      </w:r>
      <w:r>
        <w:rPr>
          <w:rFonts w:hint="eastAsia" w:ascii="方正楷体_GB2312" w:hAnsi="方正楷体_GB2312" w:eastAsia="方正楷体_GB2312" w:cs="方正楷体_GB2312"/>
          <w:lang w:val="en-US" w:eastAsia="zh-CN"/>
        </w:rPr>
        <w:t>学院</w:t>
      </w:r>
      <w:r>
        <w:rPr>
          <w:rFonts w:hint="eastAsia" w:ascii="方正楷体_GB2312" w:hAnsi="方正楷体_GB2312" w:eastAsia="方正楷体_GB2312" w:cs="方正楷体_GB2312"/>
        </w:rPr>
        <w:t>统计</w:t>
      </w:r>
      <w:bookmarkEnd w:id="9"/>
      <w:bookmarkEnd w:id="10"/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从学院</w:t>
      </w:r>
      <w:r>
        <w:rPr>
          <w:rFonts w:hint="eastAsia" w:ascii="仿宋_GB2312" w:hAnsi="仿宋_GB2312" w:eastAsia="仿宋_GB2312" w:cs="仿宋_GB2312"/>
          <w:sz w:val="32"/>
          <w:szCs w:val="40"/>
          <w:lang w:val="en-US"/>
        </w:rPr>
        <w:t>统计</w: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看，口腔医学院,经济与管理学院存在问题毕业论文</w:t>
      </w:r>
      <w:r>
        <w:rPr>
          <w:rFonts w:hint="eastAsia" w:ascii="仿宋_GB2312" w:hAnsi="仿宋_GB2312" w:eastAsia="仿宋_GB2312" w:cs="仿宋_GB2312"/>
          <w:sz w:val="32"/>
          <w:szCs w:val="40"/>
          <w:lang w:val="en-US"/>
        </w:rPr>
        <w:t>（含未上传论文）</w: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占抽检论文的比例最高，达50.00%。蒙古学学院,资源环境与建筑工程学院,文学院,农学院,化学与生命科学学院,教师教育学院,马克思主义学院,音乐学院,外国语学院,数学与计算机科学学院,历史文化学院</w:t>
      </w:r>
      <w:r>
        <w:rPr>
          <w:rFonts w:hint="eastAsia" w:ascii="仿宋_GB2312" w:hAnsi="仿宋_GB2312" w:eastAsia="仿宋_GB2312" w:cs="仿宋_GB2312"/>
          <w:sz w:val="32"/>
          <w:szCs w:val="40"/>
          <w:lang w:val="en-US"/>
        </w:rPr>
        <w:t>存在问题</w: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毕业</w:t>
      </w:r>
      <w:r>
        <w:rPr>
          <w:rFonts w:hint="eastAsia" w:ascii="仿宋_GB2312" w:hAnsi="仿宋_GB2312" w:eastAsia="仿宋_GB2312" w:cs="仿宋_GB2312"/>
          <w:sz w:val="32"/>
          <w:szCs w:val="40"/>
          <w:lang w:val="en-US"/>
        </w:rPr>
        <w:t>论文（含未上传论文）</w: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占比最低，为0.00%。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全校存在问题毕业论文中，经济与管理学院占比最高，达25.00%</w:t>
      </w:r>
      <w:r>
        <w:rPr>
          <w:rFonts w:hint="eastAsia" w:ascii="仿宋_GB2312" w:hAnsi="仿宋_GB2312" w:eastAsia="仿宋_GB2312" w:cs="仿宋_GB2312"/>
          <w:sz w:val="32"/>
          <w:szCs w:val="40"/>
          <w:lang w:val="en-US"/>
        </w:rPr>
        <w:t>，其次是</w: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美术学院,教育科学学院,体育学院,护理学院,基础医学院,口腔医学院,法学与商务学院占比最低，为8.33%。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具体分布情况详见表5、图5-1、图5-2、图5-3。</w:t>
      </w:r>
    </w:p>
    <w:p>
      <w:pPr>
        <w:rPr>
          <w:rFonts w:hint="eastAsia" w:ascii="仿宋_GB2312" w:hAnsi="仿宋_GB2312" w:eastAsia="仿宋_GB2312" w:cs="仿宋_GB2312"/>
          <w:b/>
          <w:sz w:val="28"/>
        </w:rPr>
      </w:pPr>
      <w:r>
        <w:br w:type="page"/>
      </w:r>
    </w:p>
    <w:p>
      <w:pPr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b/>
          <w:sz w:val="28"/>
        </w:rPr>
        <w:t xml:space="preserve">表5  </w:t>
      </w:r>
      <w:r>
        <w:rPr>
          <w:rFonts w:hint="eastAsia" w:ascii="仿宋_GB2312" w:hAnsi="仿宋_GB2312" w:eastAsia="仿宋_GB2312" w:cs="仿宋_GB2312"/>
          <w:b/>
          <w:sz w:val="28"/>
          <w:lang w:eastAsia="zh-CN"/>
        </w:rPr>
        <w:t>2022/2023</w:t>
      </w:r>
      <w:r>
        <w:rPr>
          <w:rFonts w:hint="eastAsia" w:ascii="仿宋_GB2312" w:hAnsi="仿宋_GB2312" w:eastAsia="仿宋_GB2312" w:cs="仿宋_GB2312"/>
          <w:b/>
          <w:sz w:val="28"/>
        </w:rPr>
        <w:t>学年度赤峰学院本科毕业论文抽检评议结果统计表（按</w:t>
      </w:r>
      <w:r>
        <w:rPr>
          <w:rFonts w:hint="eastAsia" w:ascii="仿宋_GB2312" w:hAnsi="仿宋_GB2312" w:eastAsia="仿宋_GB2312" w:cs="仿宋_GB2312"/>
          <w:b/>
          <w:sz w:val="28"/>
          <w:lang w:val="en-US" w:eastAsia="zh-CN"/>
        </w:rPr>
        <w:t>学院</w:t>
      </w:r>
      <w:r>
        <w:rPr>
          <w:rFonts w:hint="eastAsia" w:ascii="仿宋_GB2312" w:hAnsi="仿宋_GB2312" w:eastAsia="仿宋_GB2312" w:cs="仿宋_GB2312"/>
          <w:b/>
          <w:sz w:val="28"/>
        </w:rPr>
        <w:t>统计）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6"/>
        <w:gridCol w:w="996"/>
        <w:gridCol w:w="1142"/>
        <w:gridCol w:w="1295"/>
        <w:gridCol w:w="1142"/>
        <w:gridCol w:w="996"/>
        <w:gridCol w:w="1011"/>
        <w:gridCol w:w="1004"/>
        <w:gridCol w:w="1011"/>
        <w:gridCol w:w="996"/>
        <w:gridCol w:w="1011"/>
        <w:gridCol w:w="996"/>
        <w:gridCol w:w="1011"/>
        <w:gridCol w:w="996"/>
        <w:gridCol w:w="10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0" w:hRule="exact"/>
        </w:trPr>
        <w:tc>
          <w:tcPr>
            <w:tcW w:w="1027" w:type="dxa"/>
            <w:vMerge w:val="restart"/>
            <w:shd w:val="clear" w:color="FFFFFF" w:fill="E6E6E6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</w:p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序号</w:t>
            </w:r>
          </w:p>
        </w:tc>
        <w:tc>
          <w:tcPr>
            <w:tcW w:w="1027" w:type="dxa"/>
            <w:vMerge w:val="restart"/>
            <w:shd w:val="clear" w:color="FFFFFF" w:fill="E6E6E6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</w:p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学院名称</w:t>
            </w:r>
          </w:p>
        </w:tc>
        <w:tc>
          <w:tcPr>
            <w:tcW w:w="1027" w:type="dxa"/>
            <w:vMerge w:val="restart"/>
            <w:shd w:val="clear" w:color="FFFFFF" w:fill="E6E6E6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</w:p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抽取论文总数</w:t>
            </w:r>
          </w:p>
        </w:tc>
        <w:tc>
          <w:tcPr>
            <w:tcW w:w="1027" w:type="dxa"/>
            <w:vMerge w:val="restart"/>
            <w:shd w:val="clear" w:color="FFFFFF" w:fill="E6E6E6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</w:p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未上传论文总数</w:t>
            </w:r>
          </w:p>
        </w:tc>
        <w:tc>
          <w:tcPr>
            <w:tcW w:w="1027" w:type="dxa"/>
            <w:vMerge w:val="restart"/>
            <w:shd w:val="clear" w:color="FFFFFF" w:fill="E6E6E6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</w:p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送审论文总数</w:t>
            </w:r>
          </w:p>
        </w:tc>
        <w:tc>
          <w:tcPr>
            <w:tcW w:w="2054" w:type="dxa"/>
            <w:gridSpan w:val="2"/>
            <w:shd w:val="clear" w:color="FFFFFF" w:fill="E6E6E6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20"/>
              </w:rPr>
              <w:t>合格论文</w:t>
            </w:r>
          </w:p>
          <w:p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2054" w:type="dxa"/>
            <w:gridSpan w:val="2"/>
            <w:shd w:val="clear" w:color="FFFFFF" w:fill="E6E6E6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20"/>
              </w:rPr>
              <w:t>“一不合格”论文</w:t>
            </w:r>
          </w:p>
          <w:p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2054" w:type="dxa"/>
            <w:gridSpan w:val="2"/>
            <w:shd w:val="clear" w:color="FFFFFF" w:fill="E6E6E6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20"/>
              </w:rPr>
              <w:t>存在问题毕业论文（不含未上传论文）</w:t>
            </w:r>
          </w:p>
          <w:p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2054" w:type="dxa"/>
            <w:gridSpan w:val="2"/>
            <w:shd w:val="clear" w:color="FFFFFF" w:fill="E6E6E6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20"/>
              </w:rPr>
              <w:t>存在问题毕业论文（含未上传论文）</w:t>
            </w:r>
          </w:p>
          <w:p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2054" w:type="dxa"/>
            <w:gridSpan w:val="2"/>
            <w:shd w:val="clear" w:color="FFFFFF" w:fill="E6E6E6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20"/>
              </w:rPr>
              <w:t>全校存在问题论文</w:t>
            </w:r>
          </w:p>
          <w:p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0" w:hRule="exact"/>
        </w:trPr>
        <w:tc>
          <w:tcPr>
            <w:tcW w:w="1027" w:type="dxa"/>
            <w:vMerge w:val="continue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序号</w:t>
            </w:r>
          </w:p>
        </w:tc>
        <w:tc>
          <w:tcPr>
            <w:tcW w:w="1027" w:type="dxa"/>
            <w:vMerge w:val="continue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学院名称</w:t>
            </w:r>
          </w:p>
        </w:tc>
        <w:tc>
          <w:tcPr>
            <w:tcW w:w="1027" w:type="dxa"/>
            <w:vMerge w:val="continue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抽取论文总数</w:t>
            </w:r>
          </w:p>
        </w:tc>
        <w:tc>
          <w:tcPr>
            <w:tcW w:w="1027" w:type="dxa"/>
            <w:vMerge w:val="continue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未上传论文总数</w:t>
            </w:r>
          </w:p>
        </w:tc>
        <w:tc>
          <w:tcPr>
            <w:tcW w:w="1027" w:type="dxa"/>
            <w:vMerge w:val="continue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送审论文总数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合格论文数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合格论文率（%）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“一不合格”论文数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“一不合格”论文率（%）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存在问题毕业论文数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存在问题毕业论文比例（%）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存在问题毕业论文数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存在问题毕业论文比例（%）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全校存在问题毕业论文总数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占全校存在问题毕业论文比例（%）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exact"/>
        </w:trPr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护理学院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10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10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9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90.0%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2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20.0%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10.0%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10.0%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12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8.33%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exact"/>
        </w:trPr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2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基础医学院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3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2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2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100.0%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0.0%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0.0%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33.33%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12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8.33%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exact"/>
        </w:trPr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3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文学院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3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3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3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100.0%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33.33%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0.0%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0.0%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12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0.0%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exact"/>
        </w:trPr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4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音乐学院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3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3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3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100.0%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0.0%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0.0%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0.0%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12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0.0%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exact"/>
        </w:trPr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5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美术学院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6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6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5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83.33%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16.67%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16.67%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16.67%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12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8.33%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exact"/>
        </w:trPr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6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教师教育学院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100.0%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0.0%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0.0%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0.0%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12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0.0%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exact"/>
        </w:trPr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7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法学与商务学院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4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4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3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75.0%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2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50.0%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25.0%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25.0%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12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8.33%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exact"/>
        </w:trPr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8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历史文化学院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3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3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3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100.0%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0.0%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0.0%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0.0%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12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0.0%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exact"/>
        </w:trPr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9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外国语学院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3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3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3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100.0%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2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66.67%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0.0%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0.0%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12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0.0%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0" w:hRule="exact"/>
        </w:trPr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10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物理与智能制造工程学院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5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5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3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60.0%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20.0%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2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40.0%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2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40.0%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12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16.67%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exact"/>
        </w:trPr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11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教育科学学院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7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7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6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85.71%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0.0%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14.29%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14.29%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12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8.33%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exact"/>
        </w:trPr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12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农学院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100.0%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0.0%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0.0%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0.0%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12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0.0%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exact"/>
        </w:trPr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13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经济与管理学院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6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6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3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50.0%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0.0%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3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50.0%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3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50.0%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12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25.0%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0" w:hRule="exact"/>
        </w:trPr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14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资源环境与建筑工程学院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7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7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7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100.0%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0.0%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0.0%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0.0%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12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0.0%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0" w:hRule="exact"/>
        </w:trPr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15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化学与生命科学学院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4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4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4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100.0%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0.0%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0.0%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0.0%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12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0.0%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exact"/>
        </w:trPr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16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口腔医学院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2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100.0%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0.0%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0.0%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50.0%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12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8.33%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exact"/>
        </w:trPr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17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马克思主义学院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100.0%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0.0%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0.0%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0.0%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12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0.0%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exact"/>
        </w:trPr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18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蒙古学学院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2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2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2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100.0%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0.0%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0.0%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0.0%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12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0.0%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0" w:hRule="exact"/>
        </w:trPr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19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数学与计算机科学学院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7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7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7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100.0%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0.0%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0.0%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0.0%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12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0.0%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exact"/>
        </w:trPr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20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体育学院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3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3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2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66.67%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0.0%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33.33%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33.33%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12</w:t>
            </w:r>
          </w:p>
        </w:tc>
        <w:tc>
          <w:tcPr>
            <w:tcW w:w="1027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8.33%</w:t>
            </w:r>
          </w:p>
        </w:tc>
      </w:tr>
    </w:tbl>
    <w:p>
      <w:pPr>
        <w:rPr>
          <w:rFonts w:ascii="仿宋" w:hAnsi="仿宋" w:eastAsia="仿宋" w:cs="仿宋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br w:type="page"/>
      </w:r>
    </w:p>
    <w:p>
      <w:pPr>
        <w:spacing w:line="360" w:lineRule="auto"/>
        <w:jc w:val="center"/>
        <w:rPr>
          <w:rFonts w:hint="eastAsia" w:ascii="仿宋_GB2312" w:hAnsi="仿宋_GB2312" w:eastAsia="仿宋_GB2312" w:cs="仿宋_GB2312"/>
          <w:b/>
          <w:sz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sz w:val="28"/>
          <w:lang w:val="en-US" w:eastAsia="zh-CN"/>
        </w:rPr>
        <w:t>图5-1  2022/2023学年度赤峰学院本科毕业论文抽检评议结果按高校统计——存在问题毕业论文（不含未上传论文）比例</w:t>
      </w:r>
    </w:p>
    <w:p>
      <w:pPr>
        <w:spacing w:line="360" w:lineRule="auto"/>
        <w:jc w:val="center"/>
        <w:rPr>
          <w:rFonts w:hint="eastAsia" w:ascii="仿宋_GB2312" w:hAnsi="仿宋_GB2312" w:eastAsia="仿宋_GB2312" w:cs="仿宋_GB2312"/>
          <w:spacing w:val="6"/>
          <w:sz w:val="32"/>
          <w:szCs w:val="32"/>
          <w:lang w:val="en-US" w:eastAsia="zh-CN"/>
        </w:rPr>
      </w:pPr>
      <w:r>
        <w:pict>
          <v:shape id="_x0000_i1029" o:spt="75" type="#_x0000_t75" style="height:378pt;width:560pt;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</w:pict>
      </w:r>
    </w:p>
    <w:p>
      <w:pP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br w:type="page"/>
      </w:r>
    </w:p>
    <w:p>
      <w:pPr>
        <w:spacing w:line="360" w:lineRule="auto"/>
        <w:jc w:val="center"/>
        <w:rPr>
          <w:rFonts w:hint="eastAsia" w:ascii="仿宋_GB2312" w:hAnsi="仿宋_GB2312" w:eastAsia="仿宋_GB2312" w:cs="仿宋_GB2312"/>
          <w:b/>
          <w:sz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sz w:val="28"/>
          <w:lang w:val="en-US" w:eastAsia="zh-CN"/>
        </w:rPr>
        <w:t>图5-2  2022/2023学年度赤峰学院本科毕业论文抽检评议结果按高校统计——存在问题毕业论文（含未上传论文）比例</w:t>
      </w:r>
    </w:p>
    <w:p>
      <w:pPr>
        <w:spacing w:line="360" w:lineRule="auto"/>
        <w:jc w:val="center"/>
        <w:rPr>
          <w:rFonts w:hint="eastAsia" w:ascii="仿宋_GB2312" w:hAnsi="仿宋_GB2312" w:eastAsia="仿宋_GB2312" w:cs="仿宋_GB2312"/>
          <w:spacing w:val="6"/>
          <w:sz w:val="32"/>
          <w:szCs w:val="32"/>
          <w:lang w:val="en-US" w:eastAsia="zh-CN"/>
        </w:rPr>
      </w:pPr>
      <w:r>
        <w:pict>
          <v:shape id="_x0000_i1030" o:spt="75" type="#_x0000_t75" style="height:378pt;width:560pt;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</w:pict>
      </w:r>
      <w:r>
        <w:rPr>
          <w:rFonts w:hint="eastAsia" w:ascii="仿宋_GB2312" w:hAnsi="仿宋_GB2312" w:eastAsia="仿宋_GB2312" w:cs="仿宋_GB2312"/>
          <w:spacing w:val="6"/>
          <w:sz w:val="32"/>
          <w:szCs w:val="32"/>
          <w:lang w:val="en-US" w:eastAsia="zh-CN"/>
        </w:rPr>
        <w:t xml:space="preserve"> </w:t>
      </w:r>
    </w:p>
    <w:p>
      <w:pP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br w:type="page"/>
      </w:r>
    </w:p>
    <w:p>
      <w:pPr>
        <w:spacing w:line="360" w:lineRule="auto"/>
        <w:jc w:val="center"/>
        <w:rPr>
          <w:rFonts w:hint="eastAsia" w:ascii="仿宋_GB2312" w:hAnsi="仿宋_GB2312" w:eastAsia="仿宋_GB2312" w:cs="仿宋_GB2312"/>
          <w:b/>
          <w:sz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sz w:val="28"/>
          <w:lang w:val="en-US" w:eastAsia="zh-CN"/>
        </w:rPr>
        <w:t>图5-3  2022/2023学年度赤峰学院本科毕业论文抽检评议结果按学院统计——占全校存在问题毕业论文比例（%）</w:t>
      </w:r>
    </w:p>
    <w:p>
      <w:pPr>
        <w:spacing w:line="360" w:lineRule="auto"/>
        <w:jc w:val="center"/>
        <w:rPr>
          <w:rFonts w:hint="eastAsia" w:ascii="仿宋_GB2312" w:hAnsi="仿宋_GB2312" w:eastAsia="仿宋_GB2312" w:cs="仿宋_GB2312"/>
          <w:spacing w:val="6"/>
          <w:sz w:val="32"/>
          <w:szCs w:val="32"/>
          <w:lang w:val="en-US" w:eastAsia="zh-CN"/>
        </w:rPr>
      </w:pPr>
      <w:r>
        <w:pict>
          <v:shape id="_x0000_i1031" o:spt="75" type="#_x0000_t75" style="height:378pt;width:560pt;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</w:pict>
      </w:r>
    </w:p>
    <w:p>
      <w:pPr>
        <w:jc w:val="center"/>
      </w:pPr>
    </w:p>
    <w:p/>
    <w:p/>
    <w:p>
      <w:pPr>
        <w:pStyle w:val="8"/>
        <w:ind w:left="840"/>
        <w:rPr>
          <w:rFonts w:ascii="方正楷体_GB2312" w:hAnsi="方正楷体_GB2312" w:eastAsia="方正楷体_GB2312" w:cs="方正楷体_GB2312"/>
        </w:rPr>
      </w:pPr>
      <w:bookmarkStart w:id="11" w:name="_Toc256000005"/>
      <w:bookmarkStart w:id="12" w:name="_Toc9737"/>
      <w:r>
        <w:rPr>
          <w:rFonts w:hint="eastAsia" w:ascii="方正楷体_GB2312" w:hAnsi="方正楷体_GB2312" w:eastAsia="方正楷体_GB2312" w:cs="方正楷体_GB2312"/>
        </w:rPr>
        <w:t>（四）按专业统计</w:t>
      </w:r>
      <w:bookmarkEnd w:id="11"/>
      <w:bookmarkEnd w:id="12"/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“存在问题毕业论文（含未上传论文）”数量最多的前十名专业，分别是会计学,物联网工程,护理学,医学检验技术,机械设计制造及其自动化,体育教育,旅游管理,口腔医学,学前教育,美术学。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具体分布情况详见表6、图6。所有专业统计详情表见附件1。</w:t>
      </w:r>
    </w:p>
    <w:p>
      <w:pPr>
        <w:jc w:val="center"/>
        <w:rPr>
          <w:rFonts w:ascii="仿宋" w:eastAsia="仿宋"/>
          <w:b/>
          <w:sz w:val="28"/>
        </w:rPr>
      </w:pPr>
      <w:r>
        <w:rPr>
          <w:rFonts w:hint="eastAsia" w:ascii="仿宋_GB2312" w:hAnsi="仿宋_GB2312" w:eastAsia="仿宋_GB2312" w:cs="仿宋_GB2312"/>
          <w:b/>
          <w:sz w:val="28"/>
        </w:rPr>
        <w:t xml:space="preserve">表6  </w:t>
      </w:r>
      <w:r>
        <w:rPr>
          <w:rFonts w:hint="eastAsia" w:ascii="仿宋_GB2312" w:hAnsi="仿宋_GB2312" w:eastAsia="仿宋_GB2312" w:cs="仿宋_GB2312"/>
          <w:b/>
          <w:sz w:val="28"/>
          <w:lang w:eastAsia="zh-CN"/>
        </w:rPr>
        <w:t>2022/2023</w:t>
      </w:r>
      <w:r>
        <w:rPr>
          <w:rFonts w:hint="eastAsia" w:ascii="仿宋_GB2312" w:hAnsi="仿宋_GB2312" w:eastAsia="仿宋_GB2312" w:cs="仿宋_GB2312"/>
          <w:b/>
          <w:sz w:val="28"/>
        </w:rPr>
        <w:t>学年度赤峰学院本科毕业论文抽检评议结果统计表（按专业统计）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5"/>
        <w:gridCol w:w="1085"/>
        <w:gridCol w:w="1085"/>
        <w:gridCol w:w="1164"/>
        <w:gridCol w:w="1321"/>
        <w:gridCol w:w="1164"/>
        <w:gridCol w:w="1085"/>
        <w:gridCol w:w="1090"/>
        <w:gridCol w:w="1089"/>
        <w:gridCol w:w="1090"/>
        <w:gridCol w:w="1085"/>
        <w:gridCol w:w="1092"/>
        <w:gridCol w:w="1086"/>
        <w:gridCol w:w="10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0" w:hRule="exact"/>
        </w:trPr>
        <w:tc>
          <w:tcPr>
            <w:tcW w:w="1100" w:type="dxa"/>
            <w:vMerge w:val="restart"/>
            <w:shd w:val="clear" w:color="FFFFFF" w:fill="E6E6E6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</w:p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序号</w:t>
            </w:r>
          </w:p>
        </w:tc>
        <w:tc>
          <w:tcPr>
            <w:tcW w:w="1100" w:type="dxa"/>
            <w:vMerge w:val="restart"/>
            <w:shd w:val="clear" w:color="FFFFFF" w:fill="E6E6E6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</w:p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专业名称</w:t>
            </w:r>
          </w:p>
        </w:tc>
        <w:tc>
          <w:tcPr>
            <w:tcW w:w="1100" w:type="dxa"/>
            <w:vMerge w:val="restart"/>
            <w:shd w:val="clear" w:color="FFFFFF" w:fill="E6E6E6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</w:p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学院名称</w:t>
            </w:r>
          </w:p>
        </w:tc>
        <w:tc>
          <w:tcPr>
            <w:tcW w:w="1100" w:type="dxa"/>
            <w:vMerge w:val="restart"/>
            <w:shd w:val="clear" w:color="FFFFFF" w:fill="E6E6E6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</w:p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抽取论文总数</w:t>
            </w:r>
          </w:p>
        </w:tc>
        <w:tc>
          <w:tcPr>
            <w:tcW w:w="1100" w:type="dxa"/>
            <w:vMerge w:val="restart"/>
            <w:shd w:val="clear" w:color="FFFFFF" w:fill="E6E6E6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</w:p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未上传论文总数</w:t>
            </w:r>
          </w:p>
        </w:tc>
        <w:tc>
          <w:tcPr>
            <w:tcW w:w="1100" w:type="dxa"/>
            <w:vMerge w:val="restart"/>
            <w:shd w:val="clear" w:color="FFFFFF" w:fill="E6E6E6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</w:p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送审论文总数</w:t>
            </w:r>
          </w:p>
        </w:tc>
        <w:tc>
          <w:tcPr>
            <w:tcW w:w="2200" w:type="dxa"/>
            <w:gridSpan w:val="2"/>
            <w:shd w:val="clear" w:color="FFFFFF" w:fill="E6E6E6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20"/>
              </w:rPr>
              <w:t>合格论文</w:t>
            </w:r>
          </w:p>
          <w:p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2200" w:type="dxa"/>
            <w:gridSpan w:val="2"/>
            <w:shd w:val="clear" w:color="FFFFFF" w:fill="E6E6E6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20"/>
              </w:rPr>
              <w:t>“一不合格”论文</w:t>
            </w:r>
          </w:p>
          <w:p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2200" w:type="dxa"/>
            <w:gridSpan w:val="2"/>
            <w:shd w:val="clear" w:color="FFFFFF" w:fill="E6E6E6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20"/>
              </w:rPr>
              <w:t>存在问题毕业论文（不含未上传论文）</w:t>
            </w:r>
          </w:p>
          <w:p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2200" w:type="dxa"/>
            <w:gridSpan w:val="2"/>
            <w:shd w:val="clear" w:color="FFFFFF" w:fill="E6E6E6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20"/>
              </w:rPr>
              <w:t>存在问题毕业论文（含未上传论文）</w:t>
            </w:r>
          </w:p>
          <w:p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0" w:hRule="exact"/>
        </w:trPr>
        <w:tc>
          <w:tcPr>
            <w:tcW w:w="1100" w:type="dxa"/>
            <w:vMerge w:val="continue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序号</w:t>
            </w:r>
          </w:p>
        </w:tc>
        <w:tc>
          <w:tcPr>
            <w:tcW w:w="1100" w:type="dxa"/>
            <w:vMerge w:val="continue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专业名称</w:t>
            </w:r>
          </w:p>
        </w:tc>
        <w:tc>
          <w:tcPr>
            <w:tcW w:w="1100" w:type="dxa"/>
            <w:vMerge w:val="continue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学院名称</w:t>
            </w:r>
          </w:p>
        </w:tc>
        <w:tc>
          <w:tcPr>
            <w:tcW w:w="1100" w:type="dxa"/>
            <w:vMerge w:val="continue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抽取论文总数</w:t>
            </w:r>
          </w:p>
        </w:tc>
        <w:tc>
          <w:tcPr>
            <w:tcW w:w="1100" w:type="dxa"/>
            <w:vMerge w:val="continue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未上传论文总数</w:t>
            </w:r>
          </w:p>
        </w:tc>
        <w:tc>
          <w:tcPr>
            <w:tcW w:w="1100" w:type="dxa"/>
            <w:vMerge w:val="continue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送审论文总数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合格论文数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合格论文率（%）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“一不合格”论文数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“一不合格”论文率（%）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存在问题毕业论文数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存在问题毕业论文比例（%）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存在问题毕业论文数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存在问题毕业论文比例（%）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exact"/>
        </w:trPr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会计学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经济与管理学院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6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6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3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50.0%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0.0%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3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50.0%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3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50.0%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exact"/>
        </w:trPr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2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学前教育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教育科学学院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5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5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4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80.0%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0.0%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20.0%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20.0%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exact"/>
        </w:trPr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3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体育教育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体育学院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2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2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50.0%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0.0%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50.0%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50.0%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exact"/>
        </w:trPr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4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护理学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护理学院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10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10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9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90.0%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2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20.0%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10.0%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10.0%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exact"/>
        </w:trPr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5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口腔医学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口腔医学院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0.0%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0.0%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0.0%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100.0%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exact"/>
        </w:trPr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6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医学检验技术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基础医学院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0.0%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0.0%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0.0%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100.0%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0" w:hRule="exact"/>
        </w:trPr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7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旅游管理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法学与商务学院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0.0%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0.0%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100.0%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100.0%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0" w:hRule="exact"/>
        </w:trPr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8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机械设计制造及其自动化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物理与智能制造工程学院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2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2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50.0%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0.0%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50.0%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50.0%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0" w:hRule="exact"/>
        </w:trPr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9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物联网工程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物理与智能制造工程学院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0.0%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0.0%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100.0%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100.0%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exact"/>
        </w:trPr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10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美术学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美术学院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2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2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50.0%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0.0%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50.0%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</w:t>
            </w:r>
          </w:p>
        </w:tc>
        <w:tc>
          <w:tcPr>
            <w:tcW w:w="1100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50.0%</w:t>
            </w:r>
          </w:p>
        </w:tc>
      </w:tr>
    </w:tbl>
    <w:p>
      <w:pP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br w:type="page"/>
      </w:r>
    </w:p>
    <w:p>
      <w:pPr>
        <w:spacing w:line="360" w:lineRule="auto"/>
        <w:jc w:val="center"/>
        <w:rPr>
          <w:rFonts w:hint="eastAsia" w:ascii="仿宋_GB2312" w:hAnsi="仿宋_GB2312" w:eastAsia="仿宋_GB2312" w:cs="仿宋_GB2312"/>
          <w:b/>
          <w:sz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sz w:val="28"/>
          <w:lang w:val="en-US" w:eastAsia="zh-CN"/>
        </w:rPr>
        <w:t>图6  2022/2023学年度赤峰学院本科毕业论文抽检评议结果按专业统计——存在问题毕业论文（含未上传论文）数量最多的前十个专业</w:t>
      </w:r>
    </w:p>
    <w:p>
      <w:pPr>
        <w:spacing w:line="360" w:lineRule="auto"/>
        <w:jc w:val="center"/>
        <w:rPr>
          <w:rFonts w:hint="eastAsia" w:ascii="仿宋_GB2312" w:hAnsi="仿宋_GB2312" w:eastAsia="仿宋_GB2312" w:cs="仿宋_GB2312"/>
          <w:spacing w:val="6"/>
          <w:sz w:val="32"/>
          <w:szCs w:val="32"/>
          <w:lang w:val="en-US" w:eastAsia="zh-CN"/>
        </w:rPr>
      </w:pPr>
      <w:r>
        <w:pict>
          <v:shape id="_x0000_i1032" o:spt="75" type="#_x0000_t75" style="height:378pt;width:560pt;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</w:pict>
      </w:r>
    </w:p>
    <w:p>
      <w:pPr>
        <w:rPr>
          <w:rFonts w:ascii="仿宋" w:hAnsi="仿宋" w:eastAsia="仿宋" w:cs="仿宋"/>
          <w:sz w:val="32"/>
          <w:szCs w:val="32"/>
        </w:rPr>
        <w:sectPr>
          <w:type w:val="continuous"/>
          <w:pgSz w:w="16838" w:h="11906" w:orient="landscape"/>
          <w:pgMar w:top="720" w:right="720" w:bottom="720" w:left="720" w:header="851" w:footer="992" w:gutter="0"/>
          <w:cols w:space="425" w:num="1"/>
          <w:titlePg/>
          <w:docGrid w:type="lines" w:linePitch="312" w:charSpace="0"/>
        </w:sectPr>
      </w:pPr>
    </w:p>
    <w:p>
      <w:pPr>
        <w:pStyle w:val="8"/>
        <w:ind w:firstLine="420" w:firstLineChars="0"/>
        <w:rPr>
          <w:rFonts w:ascii="方正楷体_GB2312" w:hAnsi="方正楷体_GB2312" w:eastAsia="方正楷体_GB2312" w:cs="方正楷体_GB2312"/>
        </w:rPr>
      </w:pPr>
      <w:bookmarkStart w:id="13" w:name="_Toc256000006"/>
      <w:bookmarkStart w:id="14" w:name="_Toc16011"/>
      <w:r>
        <w:rPr>
          <w:rFonts w:hint="eastAsia" w:ascii="方正楷体_GB2312" w:hAnsi="方正楷体_GB2312" w:eastAsia="方正楷体_GB2312" w:cs="方正楷体_GB2312"/>
        </w:rPr>
        <w:t>（五）按论文类型统计</w:t>
      </w:r>
      <w:bookmarkEnd w:id="13"/>
      <w:bookmarkEnd w:id="14"/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毕业论文类，送审论文共67篇。其中，合格论文共58篇，合格论文率为86.57%；“一不合格”论文共7篇，“一不合格”论文率为10.45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%</w:t>
      </w:r>
      <w:r>
        <w:rPr>
          <w:rFonts w:hint="eastAsia" w:ascii="仿宋_GB2312" w:hAnsi="仿宋_GB2312" w:eastAsia="仿宋_GB2312" w:cs="仿宋_GB2312"/>
          <w:sz w:val="32"/>
          <w:szCs w:val="32"/>
        </w:rPr>
        <w:t>；“存在问题毕业论文”共9篇，“存在问题毕业论文”比例为13.43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%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毕业设计类，送审论文共12篇。其中，合格论文共11篇，合格论文率为91.67%；“一不合格”论文共2篇，“一不合格”论文率为16.67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%</w:t>
      </w:r>
      <w:r>
        <w:rPr>
          <w:rFonts w:hint="eastAsia" w:ascii="仿宋_GB2312" w:hAnsi="仿宋_GB2312" w:eastAsia="仿宋_GB2312" w:cs="仿宋_GB2312"/>
          <w:sz w:val="32"/>
          <w:szCs w:val="32"/>
        </w:rPr>
        <w:t>；“存在问题毕业论文”共1篇，“存在问题毕业论文”比例为8.33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%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具体分布情况详见表7、图7。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jc w:val="center"/>
        <w:rPr>
          <w:rFonts w:ascii="仿宋" w:eastAsia="仿宋"/>
          <w:b/>
          <w:sz w:val="28"/>
        </w:rPr>
      </w:pPr>
      <w:r>
        <w:rPr>
          <w:rFonts w:hint="eastAsia" w:ascii="仿宋" w:eastAsia="仿宋"/>
          <w:b/>
          <w:sz w:val="28"/>
        </w:rPr>
        <w:t xml:space="preserve">表7  </w:t>
      </w:r>
      <w:r>
        <w:rPr>
          <w:rFonts w:hint="eastAsia" w:ascii="仿宋" w:eastAsia="仿宋"/>
          <w:b/>
          <w:sz w:val="28"/>
          <w:lang w:eastAsia="zh-CN"/>
        </w:rPr>
        <w:t>2022/2023</w:t>
      </w:r>
      <w:r>
        <w:rPr>
          <w:rFonts w:hint="eastAsia" w:ascii="仿宋" w:eastAsia="仿宋"/>
          <w:b/>
          <w:sz w:val="28"/>
        </w:rPr>
        <w:t>学年度</w:t>
      </w:r>
      <w:r>
        <w:rPr>
          <w:rFonts w:hint="eastAsia" w:ascii="仿宋_GB2312" w:hAnsi="仿宋_GB2312" w:eastAsia="仿宋_GB2312" w:cs="仿宋_GB2312"/>
          <w:b/>
          <w:sz w:val="28"/>
        </w:rPr>
        <w:t>赤峰学院</w:t>
      </w:r>
      <w:r>
        <w:rPr>
          <w:rFonts w:hint="eastAsia" w:ascii="仿宋" w:eastAsia="仿宋"/>
          <w:b/>
          <w:sz w:val="28"/>
        </w:rPr>
        <w:t>本科毕业论文抽检评议结果统计表（按论文类型统计）</w:t>
      </w:r>
      <w:r>
        <w:rPr>
          <w:rStyle w:val="15"/>
          <w:rFonts w:hint="eastAsia" w:ascii="仿宋_GB2312" w:hAnsi="仿宋_GB2312" w:eastAsia="仿宋_GB2312" w:cs="仿宋_GB2312"/>
          <w:b/>
          <w:bCs/>
          <w:sz w:val="24"/>
        </w:rPr>
        <w:footnoteReference w:id="0"/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25"/>
        <w:gridCol w:w="1925"/>
        <w:gridCol w:w="1925"/>
        <w:gridCol w:w="1925"/>
        <w:gridCol w:w="1925"/>
        <w:gridCol w:w="1925"/>
        <w:gridCol w:w="1925"/>
        <w:gridCol w:w="19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exact"/>
        </w:trPr>
        <w:tc>
          <w:tcPr>
            <w:tcW w:w="1925" w:type="dxa"/>
            <w:vMerge w:val="restart"/>
            <w:shd w:val="clear" w:color="FFFFFF" w:fill="E6E6E6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</w:p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论文类型</w:t>
            </w:r>
          </w:p>
        </w:tc>
        <w:tc>
          <w:tcPr>
            <w:tcW w:w="1925" w:type="dxa"/>
            <w:vMerge w:val="restart"/>
            <w:shd w:val="clear" w:color="FFFFFF" w:fill="E6E6E6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</w:p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送审论文总数</w:t>
            </w:r>
          </w:p>
        </w:tc>
        <w:tc>
          <w:tcPr>
            <w:tcW w:w="3850" w:type="dxa"/>
            <w:gridSpan w:val="2"/>
            <w:shd w:val="clear" w:color="FFFFFF" w:fill="E6E6E6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20"/>
              </w:rPr>
              <w:t>合格论文</w:t>
            </w:r>
          </w:p>
          <w:p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3850" w:type="dxa"/>
            <w:gridSpan w:val="2"/>
            <w:shd w:val="clear" w:color="FFFFFF" w:fill="E6E6E6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20"/>
              </w:rPr>
              <w:t>“一不合格”论文</w:t>
            </w:r>
          </w:p>
          <w:p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3850" w:type="dxa"/>
            <w:gridSpan w:val="2"/>
            <w:shd w:val="clear" w:color="FFFFFF" w:fill="E6E6E6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20"/>
              </w:rPr>
              <w:t>存在问题毕业论文</w:t>
            </w:r>
          </w:p>
          <w:p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exact"/>
        </w:trPr>
        <w:tc>
          <w:tcPr>
            <w:tcW w:w="1925" w:type="dxa"/>
            <w:vMerge w:val="continue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论文类型</w:t>
            </w:r>
          </w:p>
        </w:tc>
        <w:tc>
          <w:tcPr>
            <w:tcW w:w="1925" w:type="dxa"/>
            <w:vMerge w:val="continue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送审论文总数</w:t>
            </w:r>
          </w:p>
        </w:tc>
        <w:tc>
          <w:tcPr>
            <w:tcW w:w="1925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合格论文数</w:t>
            </w:r>
          </w:p>
        </w:tc>
        <w:tc>
          <w:tcPr>
            <w:tcW w:w="1925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合格论文率（%）</w:t>
            </w:r>
          </w:p>
        </w:tc>
        <w:tc>
          <w:tcPr>
            <w:tcW w:w="1925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“一不合格”论文数</w:t>
            </w:r>
          </w:p>
        </w:tc>
        <w:tc>
          <w:tcPr>
            <w:tcW w:w="1925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“一不合格”论文率（%）</w:t>
            </w:r>
          </w:p>
        </w:tc>
        <w:tc>
          <w:tcPr>
            <w:tcW w:w="1925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存在问题毕业论文数</w:t>
            </w:r>
          </w:p>
        </w:tc>
        <w:tc>
          <w:tcPr>
            <w:tcW w:w="1925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存在问题毕业论文比例（%）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exact"/>
        </w:trPr>
        <w:tc>
          <w:tcPr>
            <w:tcW w:w="1925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毕业论文</w:t>
            </w:r>
          </w:p>
        </w:tc>
        <w:tc>
          <w:tcPr>
            <w:tcW w:w="1925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67</w:t>
            </w:r>
          </w:p>
        </w:tc>
        <w:tc>
          <w:tcPr>
            <w:tcW w:w="1925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58</w:t>
            </w:r>
          </w:p>
        </w:tc>
        <w:tc>
          <w:tcPr>
            <w:tcW w:w="1925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86.57%</w:t>
            </w:r>
          </w:p>
        </w:tc>
        <w:tc>
          <w:tcPr>
            <w:tcW w:w="1925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7</w:t>
            </w:r>
          </w:p>
        </w:tc>
        <w:tc>
          <w:tcPr>
            <w:tcW w:w="1925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10.45%</w:t>
            </w:r>
          </w:p>
        </w:tc>
        <w:tc>
          <w:tcPr>
            <w:tcW w:w="1925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9</w:t>
            </w:r>
          </w:p>
        </w:tc>
        <w:tc>
          <w:tcPr>
            <w:tcW w:w="1925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13.43%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exact"/>
        </w:trPr>
        <w:tc>
          <w:tcPr>
            <w:tcW w:w="1925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毕业设计</w:t>
            </w:r>
          </w:p>
        </w:tc>
        <w:tc>
          <w:tcPr>
            <w:tcW w:w="1925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12</w:t>
            </w:r>
          </w:p>
        </w:tc>
        <w:tc>
          <w:tcPr>
            <w:tcW w:w="1925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11</w:t>
            </w:r>
          </w:p>
        </w:tc>
        <w:tc>
          <w:tcPr>
            <w:tcW w:w="1925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91.67%</w:t>
            </w:r>
          </w:p>
        </w:tc>
        <w:tc>
          <w:tcPr>
            <w:tcW w:w="1925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2</w:t>
            </w:r>
          </w:p>
        </w:tc>
        <w:tc>
          <w:tcPr>
            <w:tcW w:w="1925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16.67%</w:t>
            </w:r>
          </w:p>
        </w:tc>
        <w:tc>
          <w:tcPr>
            <w:tcW w:w="1925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</w:t>
            </w:r>
          </w:p>
        </w:tc>
        <w:tc>
          <w:tcPr>
            <w:tcW w:w="1925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8.33%</w:t>
            </w:r>
          </w:p>
        </w:tc>
      </w:tr>
    </w:tbl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br w:type="page"/>
      </w:r>
    </w:p>
    <w:p>
      <w:pPr>
        <w:spacing w:line="360" w:lineRule="auto"/>
        <w:jc w:val="center"/>
        <w:rPr>
          <w:rFonts w:hint="eastAsia" w:ascii="仿宋_GB2312" w:hAnsi="仿宋_GB2312" w:eastAsia="仿宋_GB2312" w:cs="仿宋_GB2312"/>
          <w:b/>
          <w:sz w:val="28"/>
        </w:rPr>
      </w:pPr>
      <w:r>
        <w:rPr>
          <w:rFonts w:hint="eastAsia" w:ascii="仿宋_GB2312" w:hAnsi="仿宋_GB2312" w:eastAsia="仿宋_GB2312" w:cs="仿宋_GB2312"/>
          <w:b/>
          <w:sz w:val="28"/>
        </w:rPr>
        <w:t xml:space="preserve">图7  </w:t>
      </w:r>
      <w:r>
        <w:rPr>
          <w:rFonts w:hint="eastAsia" w:ascii="仿宋_GB2312" w:hAnsi="仿宋_GB2312" w:eastAsia="仿宋_GB2312" w:cs="仿宋_GB2312"/>
          <w:b/>
          <w:sz w:val="28"/>
          <w:lang w:eastAsia="zh-CN"/>
        </w:rPr>
        <w:t>2022/2023学年度赤峰学院</w:t>
      </w:r>
      <w:r>
        <w:rPr>
          <w:rFonts w:hint="eastAsia" w:ascii="仿宋_GB2312" w:hAnsi="仿宋_GB2312" w:eastAsia="仿宋_GB2312" w:cs="仿宋_GB2312"/>
          <w:b/>
          <w:sz w:val="28"/>
        </w:rPr>
        <w:t>本科毕业论文抽检评议结果统计表（按论文类型统计）</w:t>
      </w:r>
    </w:p>
    <w:p>
      <w:pPr>
        <w:spacing w:line="360" w:lineRule="auto"/>
        <w:jc w:val="center"/>
        <w:rPr>
          <w:rFonts w:hint="eastAsia" w:ascii="仿宋_GB2312" w:hAnsi="仿宋_GB2312" w:eastAsia="仿宋_GB2312" w:cs="仿宋_GB2312"/>
          <w:spacing w:val="6"/>
          <w:sz w:val="32"/>
          <w:szCs w:val="32"/>
          <w:lang w:val="en-US" w:eastAsia="zh-CN"/>
        </w:rPr>
      </w:pPr>
      <w:r>
        <w:pict>
          <v:shape id="_x0000_i1033" o:spt="75" type="#_x0000_t75" style="height:378pt;width:560pt;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</w:pic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8"/>
        <w:rPr>
          <w:rFonts w:hint="eastAsia" w:ascii="方正楷体_GB2312" w:hAnsi="方正楷体_GB2312" w:eastAsia="方正楷体_GB2312" w:cs="方正楷体_GB2312"/>
          <w:lang w:val="en-US" w:eastAsia="zh-CN"/>
        </w:rPr>
      </w:pPr>
      <w:bookmarkStart w:id="15" w:name="_Toc6535"/>
      <w:bookmarkStart w:id="16" w:name="_Toc256000007"/>
      <w:r>
        <w:rPr>
          <w:rFonts w:hint="eastAsia" w:ascii="方正楷体_GB2312" w:hAnsi="方正楷体_GB2312" w:eastAsia="方正楷体_GB2312" w:cs="方正楷体_GB2312"/>
        </w:rPr>
        <w:t>（</w:t>
      </w:r>
      <w:r>
        <w:rPr>
          <w:rFonts w:hint="eastAsia" w:ascii="方正楷体_GB2312" w:hAnsi="方正楷体_GB2312" w:eastAsia="方正楷体_GB2312" w:cs="方正楷体_GB2312"/>
          <w:lang w:val="en-US" w:eastAsia="zh-CN"/>
        </w:rPr>
        <w:t>六</w:t>
      </w:r>
      <w:r>
        <w:rPr>
          <w:rFonts w:hint="eastAsia" w:ascii="方正楷体_GB2312" w:hAnsi="方正楷体_GB2312" w:eastAsia="方正楷体_GB2312" w:cs="方正楷体_GB2312"/>
        </w:rPr>
        <w:t>）</w:t>
      </w:r>
      <w:r>
        <w:rPr>
          <w:rFonts w:hint="eastAsia" w:ascii="方正楷体_GB2312" w:hAnsi="方正楷体_GB2312" w:eastAsia="方正楷体_GB2312" w:cs="方正楷体_GB2312"/>
          <w:lang w:val="en-US" w:eastAsia="zh-CN"/>
        </w:rPr>
        <w:t>往届对比</w:t>
      </w:r>
      <w:bookmarkEnd w:id="15"/>
      <w:bookmarkEnd w:id="16"/>
    </w:p>
    <w:p>
      <w:pPr>
        <w:jc w:val="center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</w:p>
    <w:p>
      <w:pPr>
        <w:spacing w:line="360" w:lineRule="auto"/>
        <w:jc w:val="center"/>
        <w:rPr>
          <w:rFonts w:hint="eastAsia" w:ascii="仿宋_GB2312" w:hAnsi="仿宋_GB2312" w:eastAsia="仿宋_GB2312" w:cs="仿宋_GB2312"/>
          <w:b/>
          <w:sz w:val="28"/>
        </w:rPr>
      </w:pPr>
      <w:r>
        <w:rPr>
          <w:rFonts w:hint="eastAsia" w:ascii="仿宋_GB2312" w:hAnsi="仿宋_GB2312" w:eastAsia="仿宋_GB2312" w:cs="仿宋_GB2312"/>
          <w:b/>
          <w:sz w:val="28"/>
          <w:lang w:val="en-US" w:eastAsia="zh-CN"/>
        </w:rPr>
        <w:t>表8  2022年、2023年连续2年“存在问题毕业论文（含未上传论文）”较多的前十个专业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11"/>
        <w:gridCol w:w="1711"/>
        <w:gridCol w:w="1711"/>
        <w:gridCol w:w="1711"/>
        <w:gridCol w:w="1711"/>
        <w:gridCol w:w="1711"/>
        <w:gridCol w:w="1711"/>
        <w:gridCol w:w="1711"/>
        <w:gridCol w:w="17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exact"/>
        </w:trPr>
        <w:tc>
          <w:tcPr>
            <w:tcW w:w="1711" w:type="dxa"/>
            <w:vMerge w:val="restart"/>
            <w:shd w:val="clear" w:color="FFFFFF" w:fill="E6E6E6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</w:p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序号</w:t>
            </w:r>
          </w:p>
        </w:tc>
        <w:tc>
          <w:tcPr>
            <w:tcW w:w="6844" w:type="dxa"/>
            <w:gridSpan w:val="4"/>
            <w:shd w:val="clear" w:color="FFFFFF" w:fill="E6E6E6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20"/>
              </w:rPr>
              <w:t>2021/2022</w:t>
            </w:r>
          </w:p>
          <w:p>
            <w:pPr>
              <w:spacing w:after="0" w:line="240" w:lineRule="auto"/>
              <w:jc w:val="center"/>
              <w:rPr>
                <w:color w:val="000000"/>
              </w:rPr>
            </w:pPr>
          </w:p>
          <w:p>
            <w:pPr>
              <w:spacing w:after="0" w:line="240" w:lineRule="auto"/>
              <w:jc w:val="center"/>
              <w:rPr>
                <w:color w:val="000000"/>
              </w:rPr>
            </w:pPr>
          </w:p>
          <w:p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6844" w:type="dxa"/>
            <w:gridSpan w:val="4"/>
            <w:shd w:val="clear" w:color="FFFFFF" w:fill="E6E6E6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20"/>
              </w:rPr>
              <w:t>2022/2023</w:t>
            </w:r>
          </w:p>
          <w:p>
            <w:pPr>
              <w:spacing w:after="0" w:line="240" w:lineRule="auto"/>
              <w:jc w:val="center"/>
              <w:rPr>
                <w:color w:val="000000"/>
              </w:rPr>
            </w:pPr>
          </w:p>
          <w:p>
            <w:pPr>
              <w:spacing w:after="0" w:line="240" w:lineRule="auto"/>
              <w:jc w:val="center"/>
              <w:rPr>
                <w:color w:val="000000"/>
              </w:rPr>
            </w:pPr>
          </w:p>
          <w:p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exact"/>
        </w:trPr>
        <w:tc>
          <w:tcPr>
            <w:tcW w:w="1711" w:type="dxa"/>
            <w:vMerge w:val="continue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序号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专业名称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抽检数量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存在问题毕业论文数量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存在问题毕业论文比例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专业名称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抽检数量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存在问题毕业论文数量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存在问题毕业论文比例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exact"/>
        </w:trPr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护理学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6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6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100.0%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会计学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6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3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50.0%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exact"/>
        </w:trPr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2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口腔医学技术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100.0%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物联网工程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100.0%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exact"/>
        </w:trPr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3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会计学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6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16.67%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护理学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10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10.0%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exact"/>
        </w:trPr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4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医学检验技术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100.0%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医学检验技术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100.0%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exact"/>
        </w:trPr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5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药学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100.0%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机械设计制造及其自动化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2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50.0%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exact"/>
        </w:trPr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6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口腔医学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100.0%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体育教育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2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50.0%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exact"/>
        </w:trPr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7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旅游管理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100.0%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exact"/>
        </w:trPr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8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口腔医学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100.0%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exact"/>
        </w:trPr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9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学前教育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5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20.0%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exact"/>
        </w:trPr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10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美术学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2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50.0%</w:t>
            </w:r>
          </w:p>
        </w:tc>
      </w:tr>
    </w:tbl>
    <w:p>
      <w:pPr>
        <w:rPr>
          <w:rFonts w:hint="eastAsia" w:ascii="仿宋_GB2312" w:hAnsi="仿宋_GB2312" w:eastAsia="仿宋_GB2312" w:cs="仿宋_GB2312"/>
          <w:b/>
          <w:sz w:val="28"/>
          <w:lang w:val="en-US" w:eastAsia="zh-CN"/>
        </w:rPr>
      </w:pPr>
      <w:r>
        <w:br w:type="page"/>
      </w:r>
    </w:p>
    <w:p>
      <w:pPr>
        <w:spacing w:line="360" w:lineRule="auto"/>
        <w:jc w:val="center"/>
        <w:rPr>
          <w:rFonts w:hint="eastAsia" w:ascii="仿宋_GB2312" w:hAnsi="仿宋_GB2312" w:eastAsia="仿宋_GB2312" w:cs="仿宋_GB2312"/>
          <w:b/>
          <w:sz w:val="28"/>
        </w:rPr>
      </w:pPr>
      <w:r>
        <w:rPr>
          <w:rFonts w:hint="eastAsia" w:ascii="仿宋_GB2312" w:hAnsi="仿宋_GB2312" w:eastAsia="仿宋_GB2312" w:cs="仿宋_GB2312"/>
          <w:b/>
          <w:sz w:val="28"/>
          <w:lang w:val="en-US" w:eastAsia="zh-CN"/>
        </w:rPr>
        <w:t>表9  2022年、2023年连续2年“存在问题毕业论文（含未上传论文）”较多的前十个学院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11"/>
        <w:gridCol w:w="1711"/>
        <w:gridCol w:w="1711"/>
        <w:gridCol w:w="1711"/>
        <w:gridCol w:w="1711"/>
        <w:gridCol w:w="1711"/>
        <w:gridCol w:w="1711"/>
        <w:gridCol w:w="1711"/>
        <w:gridCol w:w="17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exact"/>
        </w:trPr>
        <w:tc>
          <w:tcPr>
            <w:tcW w:w="1711" w:type="dxa"/>
            <w:vMerge w:val="restart"/>
            <w:shd w:val="clear" w:color="FFFFFF" w:fill="E6E6E6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</w:p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序号</w:t>
            </w:r>
          </w:p>
        </w:tc>
        <w:tc>
          <w:tcPr>
            <w:tcW w:w="6844" w:type="dxa"/>
            <w:gridSpan w:val="4"/>
            <w:shd w:val="clear" w:color="FFFFFF" w:fill="E6E6E6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20"/>
              </w:rPr>
              <w:t>2021/2022</w:t>
            </w:r>
          </w:p>
          <w:p>
            <w:pPr>
              <w:spacing w:after="0" w:line="240" w:lineRule="auto"/>
              <w:jc w:val="center"/>
              <w:rPr>
                <w:color w:val="000000"/>
              </w:rPr>
            </w:pPr>
          </w:p>
          <w:p>
            <w:pPr>
              <w:spacing w:after="0" w:line="240" w:lineRule="auto"/>
              <w:jc w:val="center"/>
              <w:rPr>
                <w:color w:val="000000"/>
              </w:rPr>
            </w:pPr>
          </w:p>
          <w:p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6844" w:type="dxa"/>
            <w:gridSpan w:val="4"/>
            <w:shd w:val="clear" w:color="FFFFFF" w:fill="E6E6E6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20"/>
              </w:rPr>
              <w:t>2022/2023</w:t>
            </w:r>
          </w:p>
          <w:p>
            <w:pPr>
              <w:spacing w:after="0" w:line="240" w:lineRule="auto"/>
              <w:jc w:val="center"/>
              <w:rPr>
                <w:color w:val="000000"/>
              </w:rPr>
            </w:pPr>
          </w:p>
          <w:p>
            <w:pPr>
              <w:spacing w:after="0" w:line="240" w:lineRule="auto"/>
              <w:jc w:val="center"/>
              <w:rPr>
                <w:color w:val="000000"/>
              </w:rPr>
            </w:pPr>
          </w:p>
          <w:p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exact"/>
        </w:trPr>
        <w:tc>
          <w:tcPr>
            <w:tcW w:w="1711" w:type="dxa"/>
            <w:vMerge w:val="continue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序号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学院名称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抽检数量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存在问题毕业论文数量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存在问题毕业论文比例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学院名称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抽检数量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存在问题毕业论文数量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存在问题毕业论文比例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exact"/>
        </w:trPr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赤峰学院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68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11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16.18%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经济与管理学院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6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3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50.0%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exact"/>
        </w:trPr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2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物理与智能制造工程学院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5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2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40.0%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exact"/>
        </w:trPr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3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法学与商务学院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4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25.0%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exact"/>
        </w:trPr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4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体育学院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3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33.33%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exact"/>
        </w:trPr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5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美术学院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6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16.67%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exact"/>
        </w:trPr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6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护理学院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10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10.0%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exact"/>
        </w:trPr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7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基础医学院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3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33.33%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exact"/>
        </w:trPr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8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口腔医学院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2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50.0%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exact"/>
        </w:trPr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9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教育科学学院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7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</w:t>
            </w:r>
          </w:p>
        </w:tc>
        <w:tc>
          <w:tcPr>
            <w:tcW w:w="1711" w:type="dxa"/>
            <w:shd w:val="clear" w:color="auto" w:fill="FFFFFF"/>
            <w:vAlign w:val="center"/>
          </w:tcPr>
          <w:p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仿宋" w:hAnsi="仿宋" w:eastAsia="仿宋" w:cs="仿宋"/>
                <w:b/>
                <w:color w:val="000000"/>
                <w:spacing w:val="0"/>
                <w:sz w:val="16"/>
              </w:rPr>
              <w:t>14.29%</w:t>
            </w:r>
          </w:p>
        </w:tc>
      </w:tr>
    </w:tbl>
    <w:p/>
    <w:sectPr>
      <w:footnotePr>
        <w:numFmt w:val="decimalEnclosedCircleChinese"/>
      </w:footnotePr>
      <w:type w:val="continuous"/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</w:font>
  <w:font w:name="方正楷体_GB2312">
    <w:altName w:val="宋体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framePr w:wrap="auto" w:vAnchor="text" w:hAnchor="margin" w:xAlign="center" w:y="1"/>
      <w:rPr>
        <w:rStyle w:val="14"/>
      </w:rPr>
    </w:pPr>
  </w:p>
  <w:p>
    <w:pPr>
      <w:pStyle w:val="10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Style w:val="14"/>
      </w:rPr>
      <w:id w:val="563911282"/>
      <w:docPartObj>
        <w:docPartGallery w:val="autotext"/>
      </w:docPartObj>
    </w:sdtPr>
    <w:sdtEndPr>
      <w:rPr>
        <w:rStyle w:val="14"/>
      </w:rPr>
    </w:sdtEndPr>
    <w:sdtContent>
      <w:p>
        <w:pPr>
          <w:pStyle w:val="10"/>
          <w:framePr w:wrap="auto" w:vAnchor="text" w:hAnchor="margin" w:xAlign="center" w:y="1"/>
          <w:rPr>
            <w:rStyle w:val="14"/>
          </w:rPr>
        </w:pPr>
        <w:r>
          <w:fldChar w:fldCharType="begin"/>
        </w:r>
        <w:r>
          <w:instrText xml:space="preserve">PAGE</w:instrText>
        </w:r>
        <w:r>
          <w:fldChar w:fldCharType="separate"/>
        </w:r>
        <w:r>
          <w:t>XXX</w:t>
        </w:r>
        <w:r>
          <w:fldChar w:fldCharType="end"/>
        </w:r>
      </w:p>
    </w:sdtContent>
  </w:sdt>
  <w:sdt>
    <w:sdtPr>
      <w:rPr>
        <w:rStyle w:val="14"/>
      </w:rPr>
      <w:id w:val="42646475"/>
      <w:docPartObj>
        <w:docPartGallery w:val="autotext"/>
      </w:docPartObj>
    </w:sdtPr>
    <w:sdtEndPr>
      <w:rPr>
        <w:rStyle w:val="14"/>
      </w:rPr>
    </w:sdtEndPr>
    <w:sdtContent>
      <w:p>
        <w:pPr>
          <w:pStyle w:val="10"/>
          <w:framePr w:wrap="auto" w:vAnchor="text" w:hAnchor="margin" w:xAlign="center" w:y="1"/>
          <w:rPr>
            <w:rStyle w:val="14"/>
          </w:rPr>
        </w:pPr>
        <w:r>
          <w:fldChar w:fldCharType="begin"/>
        </w:r>
        <w:r>
          <w:instrText xml:space="preserve">PAGE</w:instrText>
        </w:r>
        <w:r>
          <w:fldChar w:fldCharType="separate"/>
        </w:r>
        <w:r>
          <w:t>XXX</w:t>
        </w:r>
        <w:r>
          <w:fldChar w:fldCharType="end"/>
        </w:r>
      </w:p>
    </w:sdtContent>
  </w:sdt>
  <w:p>
    <w:pPr>
      <w:pStyle w:val="1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Style w:val="14"/>
      </w:rPr>
      <w:id w:val="39722077"/>
      <w:docPartObj>
        <w:docPartGallery w:val="autotext"/>
      </w:docPartObj>
    </w:sdtPr>
    <w:sdtEndPr>
      <w:rPr>
        <w:rStyle w:val="14"/>
      </w:rPr>
    </w:sdtEndPr>
    <w:sdtContent>
      <w:p>
        <w:pPr>
          <w:pStyle w:val="10"/>
          <w:framePr w:wrap="auto" w:vAnchor="text" w:hAnchor="margin" w:xAlign="center" w:y="1"/>
          <w:rPr>
            <w:rStyle w:val="14"/>
          </w:rPr>
        </w:pPr>
        <w:r>
          <w:fldChar w:fldCharType="begin"/>
        </w:r>
        <w:r>
          <w:instrText xml:space="preserve"> PAGE </w:instrText>
        </w:r>
        <w:r>
          <w:rPr>
            <w:rStyle w:val="14"/>
          </w:rPr>
          <w:fldChar w:fldCharType="separate"/>
        </w:r>
        <w:r>
          <w:t>8</w:t>
        </w:r>
        <w:r>
          <w:rPr>
            <w:rStyle w:val="14"/>
          </w:rPr>
          <w:fldChar w:fldCharType="end"/>
        </w:r>
      </w:p>
    </w:sdtContent>
  </w:sdt>
  <w:p>
    <w:pPr>
      <w:pStyle w:val="1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Style w:val="14"/>
      </w:rPr>
      <w:id w:val="-1728917393"/>
      <w:docPartObj>
        <w:docPartGallery w:val="autotext"/>
      </w:docPartObj>
    </w:sdtPr>
    <w:sdtEndPr>
      <w:rPr>
        <w:rStyle w:val="14"/>
      </w:rPr>
    </w:sdtEndPr>
    <w:sdtContent>
      <w:p>
        <w:pPr>
          <w:pStyle w:val="10"/>
          <w:framePr w:wrap="auto" w:vAnchor="text" w:hAnchor="margin" w:xAlign="center" w:y="1"/>
          <w:rPr>
            <w:rStyle w:val="14"/>
          </w:rPr>
        </w:pPr>
        <w:r>
          <w:fldChar w:fldCharType="begin"/>
        </w:r>
        <w:r>
          <w:instrText xml:space="preserve"> PAGE </w:instrText>
        </w:r>
        <w:r>
          <w:rPr>
            <w:rStyle w:val="14"/>
          </w:rPr>
          <w:fldChar w:fldCharType="separate"/>
        </w:r>
        <w:r>
          <w:t>28</w:t>
        </w:r>
        <w:r>
          <w:rPr>
            <w:rStyle w:val="14"/>
          </w:rPr>
          <w:fldChar w:fldCharType="end"/>
        </w:r>
      </w:p>
    </w:sdtContent>
  </w:sdt>
  <w:p>
    <w:pPr>
      <w:pStyle w:val="1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2">
    <w:p>
      <w:r>
        <w:separator/>
      </w:r>
    </w:p>
  </w:footnote>
  <w:footnote w:type="continuationSeparator" w:id="3">
    <w:p>
      <w:r>
        <w:continuationSeparator/>
      </w:r>
    </w:p>
  </w:footnote>
  <w:footnote w:id="0">
    <w:p>
      <w:pPr>
        <w:pStyle w:val="12"/>
        <w:rPr>
          <w:rFonts w:ascii="仿宋_GB2312" w:hAnsi="仿宋_GB2312" w:eastAsia="仿宋_GB2312" w:cs="仿宋_GB2312"/>
          <w:sz w:val="21"/>
          <w:szCs w:val="32"/>
        </w:rPr>
      </w:pPr>
      <w:r>
        <w:rPr>
          <w:rFonts w:hint="eastAsia" w:ascii="仿宋_GB2312" w:hAnsi="仿宋_GB2312" w:eastAsia="仿宋_GB2312" w:cs="仿宋_GB2312"/>
          <w:sz w:val="22"/>
          <w:szCs w:val="36"/>
        </w:rPr>
        <w:footnoteRef/>
      </w:r>
      <w:r>
        <w:rPr>
          <w:rFonts w:hint="eastAsia" w:ascii="仿宋_GB2312" w:hAnsi="仿宋_GB2312" w:eastAsia="仿宋_GB2312" w:cs="仿宋_GB2312"/>
          <w:sz w:val="22"/>
          <w:szCs w:val="36"/>
        </w:rPr>
        <w:t xml:space="preserve"> 未上传论文</w:t>
      </w:r>
      <w:r>
        <w:rPr>
          <w:rFonts w:hint="eastAsia" w:ascii="仿宋_GB2312" w:hAnsi="仿宋_GB2312" w:eastAsia="仿宋_GB2312" w:cs="仿宋_GB2312"/>
          <w:sz w:val="22"/>
          <w:szCs w:val="36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22"/>
          <w:szCs w:val="36"/>
        </w:rPr>
        <w:t>篇无论文类型，因此按送审论文中两种论文类型的评议结果计入统计。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B81F0CF"/>
    <w:multiLevelType w:val="singleLevel"/>
    <w:tmpl w:val="3B81F0C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2"/>
    <w:footnote w:id="3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A0OWMzMGYxOTFhNTYyMmNhMzdjZGU0YzExNGE1Y2YifQ=="/>
  </w:docVars>
  <w:rsids>
    <w:rsidRoot w:val="00000000"/>
    <w:rsid w:val="394E1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iPriority="99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iPriority="99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qFormat="1" w:unhideWhenUsed="0" w:uiPriority="0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4">
    <w:name w:val="Colorful List"/>
    <w:basedOn w:val="2"/>
    <w:qFormat/>
    <w:uiPriority w:val="0"/>
    <w:pPr>
      <w:spacing w:after="0" w:line="240" w:lineRule="auto"/>
    </w:pPr>
    <w:rPr>
      <w:color w:val="000000"/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FFFFFF" w:fill="E6E6E6"/>
    </w:tcPr>
    <w:tblStylePr w:type="firstRow">
      <w:rPr>
        <w:b/>
        <w:bCs/>
        <w:color w:val="FFFFFF"/>
      </w:rPr>
      <w:tblPr/>
      <w:tcPr>
        <w:tcBorders>
          <w:bottom w:val="single" w:color="FFFFFF" w:sz="12" w:space="0"/>
        </w:tcBorders>
        <w:shd w:val="clear" w:color="FFFFFF" w:fill="9E3A38"/>
      </w:tcPr>
    </w:tblStylePr>
    <w:tblStylePr w:type="lastRow">
      <w:rPr>
        <w:b/>
        <w:bCs/>
        <w:color w:val="9E3A38"/>
      </w:rPr>
      <w:tblPr/>
      <w:tcPr>
        <w:tcBorders>
          <w:top w:val="single" w:color="000000" w:sz="12" w:space="0"/>
        </w:tcBorders>
        <w:shd w:val="clear" w:color="FFFFFF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FFFFFF" w:fill="C0C0C0"/>
      </w:tcPr>
    </w:tblStylePr>
    <w:tblStylePr w:type="band1Horz">
      <w:tblPr/>
      <w:tcPr>
        <w:shd w:val="clear" w:color="FFFFFF" w:fill="CCCCCC"/>
      </w:tcPr>
    </w:tblStylePr>
  </w:style>
  <w:style w:type="character" w:styleId="6">
    <w:name w:val="Hyperlink"/>
    <w:basedOn w:val="5"/>
    <w:qFormat/>
    <w:uiPriority w:val="0"/>
    <w:rPr>
      <w:color w:val="0000FF"/>
      <w:u w:val="single"/>
    </w:rPr>
  </w:style>
  <w:style w:type="paragraph" w:customStyle="1" w:styleId="7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rFonts w:eastAsia="黑体"/>
      <w:b/>
      <w:kern w:val="44"/>
      <w:sz w:val="32"/>
    </w:rPr>
  </w:style>
  <w:style w:type="paragraph" w:customStyle="1" w:styleId="8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楷体"/>
      <w:b/>
      <w:sz w:val="32"/>
    </w:rPr>
  </w:style>
  <w:style w:type="paragraph" w:customStyle="1" w:styleId="9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rFonts w:eastAsia="仿宋_GB2312"/>
      <w:b/>
      <w:sz w:val="32"/>
    </w:rPr>
  </w:style>
  <w:style w:type="paragraph" w:customStyle="1" w:styleId="10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customStyle="1" w:styleId="11">
    <w:name w:val="TOC 1"/>
    <w:basedOn w:val="1"/>
    <w:next w:val="1"/>
    <w:qFormat/>
    <w:uiPriority w:val="0"/>
  </w:style>
  <w:style w:type="paragraph" w:customStyle="1" w:styleId="12">
    <w:name w:val="Footnote Text"/>
    <w:basedOn w:val="1"/>
    <w:qFormat/>
    <w:uiPriority w:val="0"/>
    <w:pPr>
      <w:snapToGrid w:val="0"/>
      <w:jc w:val="left"/>
    </w:pPr>
    <w:rPr>
      <w:sz w:val="18"/>
    </w:rPr>
  </w:style>
  <w:style w:type="paragraph" w:customStyle="1" w:styleId="13">
    <w:name w:val="TOC 2"/>
    <w:basedOn w:val="1"/>
    <w:next w:val="1"/>
    <w:qFormat/>
    <w:uiPriority w:val="0"/>
    <w:pPr>
      <w:ind w:left="420" w:leftChars="200"/>
    </w:pPr>
  </w:style>
  <w:style w:type="character" w:customStyle="1" w:styleId="14">
    <w:name w:val="Page Number"/>
    <w:basedOn w:val="5"/>
    <w:qFormat/>
    <w:uiPriority w:val="0"/>
  </w:style>
  <w:style w:type="character" w:customStyle="1" w:styleId="15">
    <w:name w:val="Footnote Reference"/>
    <w:basedOn w:val="5"/>
    <w:qFormat/>
    <w:uiPriority w:val="0"/>
    <w:rPr>
      <w:vertAlign w:val="superscript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4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customXml" Target="../customXml/item3.xml"/><Relationship Id="rId20" Type="http://schemas.openxmlformats.org/officeDocument/2006/relationships/customXml" Target="../customXml/item2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numbering" Target="numbering.xml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156C9DDF4E0E4BFA99E65052640179FC_11</vt:lpwstr>
  </property>
</Properties>
</file>

<file path=customXml/item2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customXml/item3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2024-02-04T06:45:00Z</dcterms:created>
  <dc:creator>那人_°</dc:creator>
  <cp:lastModifiedBy>那人_°</cp:lastModifiedBy>
  <dcterms:modified xsi:type="dcterms:W3CDTF">2024-02-05T10:43:39Z</dcterms:modified>
  <cp:revision>1</cp:revision>
</cp:coreProperties>
</file>

<file path=customXml/itemProps1.xml><?xml version="1.0" encoding="utf-8"?>
<ds:datastoreItem xmlns:ds="http://schemas.openxmlformats.org/officeDocument/2006/customXml" ds:itemID="{d02e9685-b623-4935-bdfe-b8bed1a6bdc1}">
  <ds:schemaRefs/>
</ds:datastoreItem>
</file>

<file path=customXml/itemProps2.xml><?xml version="1.0" encoding="utf-8"?>
<ds:datastoreItem xmlns:ds="http://schemas.openxmlformats.org/officeDocument/2006/customXml" ds:itemID="{c2dc70f7-811c-42e4-917d-5c49af0a4fed}">
  <ds:schemaRefs/>
</ds:datastoreItem>
</file>

<file path=customXml/itemProps3.xml><?xml version="1.0" encoding="utf-8"?>
<ds:datastoreItem xmlns:ds="http://schemas.openxmlformats.org/officeDocument/2006/customXml" ds:itemID="{125980fb-c299-49f0-a079-39bd7124b0e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30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2024-02-04T06:45:00Z</dcterms:created>
  <dc:creator>那人__x00B0_</dc:creator>
  <cp:lastModifiedBy>任蕾</cp:lastModifiedBy>
  <dcterms:modified xsi:type="dcterms:W3CDTF">2024-03-19T09:58:05Z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AEBFEC5FEBB94DE3B06424782B396414_13</vt:lpwstr>
  </property>
</Properties>
</file>